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AltPflAusglVO (Sachsen) — In-Kraft-Treten</w:t>
      </w:r>
    </w:p>
    <w:p>
      <w:r>
        <w:rPr>
          <w:color w:val="555555"/>
          <w:sz w:val="18"/>
        </w:rPr>
        <w:t xml:space="preserve">Altenpflege-Ausgleichsverordnung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August 2003 in Kraft.</w:t>
      </w:r>
    </w:p>
    <w:p>
      <w:r>
        <w:t xml:space="preserve">Dresden, den 24. Juli 2003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Horst Rasch</w:t>
      </w:r>
    </w:p>
    <w:p>
      <w:r>
        <w:t xml:space="preserve">Staatsminister</w:t>
      </w:r>
    </w:p>
    <w:p>
      <w:r>
        <w:t xml:space="preserve">Die Staatsministerin für Soziales</w:t>
      </w:r>
    </w:p>
    <w:p>
      <w:r>
        <w:t xml:space="preserve">Helma Orosz</w:t>
      </w:r>
    </w:p>
    <w:p>
      <w:r>
        <w:rPr>
          <w:color w:val="555555"/>
          <w:sz w:val="17"/>
        </w:rPr>
        <w:t xml:space="preserve">Zitiervorschlag: § 6 AltPflAusglVO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https://recht.nulegal.eu/gesetze/AltPflAusglVO/6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