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AltPflAPrV — Prüfungsausschuss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An jeder Altenpflegeschule wird ein Prüfungsausschuss gebildet, der für die ordnungsgemäße Durchführung der Prüfung verantwortlich ist. Er besteht aus folgenden Mitgliedern:</w:t>
      </w:r>
    </w:p>
    <w:p>
      <w:pPr>
        <w:ind w:left="420"/>
      </w:pPr>
      <w:r>
        <w:t xml:space="preserve">1. einer Vertreterin, einem Vertreter, einer Beauftragten oder einem Beauftragten der zuständigen Behörde als vorsitzendem Mitglied,</w:t>
      </w:r>
    </w:p>
    <w:p>
      <w:pPr>
        <w:ind w:left="420"/>
      </w:pPr>
      <w:r>
        <w:t xml:space="preserve">2. der Leiterin oder dem Leiter der Altenpflegeschule,</w:t>
      </w:r>
    </w:p>
    <w:p>
      <w:pPr>
        <w:ind w:left="420"/>
      </w:pPr>
      <w:r>
        <w:t xml:space="preserve">3. mindestens drei Lehrkräften als Fachprüferinnen oder Fachprüfer, von denen mindestens zwei die Schülerin oder den Schüler in den prüfungsrelevanten Lernfeldern überwiegend unterrichtet haben.</w:t>
      </w:r>
    </w:p>
    <w:p>
      <w:r>
        <w:t xml:space="preserve">Die Mitglieder müssen sachkundig und für die Mitwirkung an Prüfungen geeignet sein.</w:t>
      </w:r>
    </w:p>
    <w:p>
      <w:r>
        <w:t xml:space="preserve">(2) Die zuständige Behörde bestellt das Mitglied nach Absatz 1 Satz 2 Nr. 1 sowie dessen Stellvertreterin oder Stellvertreter. Sie bestellt die Mitglieder nach Absatz 1 Satz 2 Nr. 3 und deren Stellvertreterinnen oder Stellvertreter auf Vorschlag der Leiterin oder des Leiters der Altenpflegeschule.</w:t>
      </w:r>
    </w:p>
    <w:p>
      <w:r>
        <w:t xml:space="preserve">(3) Zur Durchführung des mündlichen und des praktischen Teils der Prüfung kann der Prüfungsausschuss Fachausschüsse bilden, die insoweit die Aufgaben des Prüfungsausschusses wahrnehmen.</w:t>
      </w:r>
    </w:p>
    <w:p>
      <w:r>
        <w:t xml:space="preserve">(4) Die zuständige Behörde kann Sachverständige sowie Beobachterinnen oder Beobachter zur Teilnahme an allen Prüfungsvorgängen entsenden.</w:t>
      </w:r>
    </w:p>
    <w:p>
      <w:r>
        <w:rPr>
          <w:color w:val="555555"/>
          <w:sz w:val="17"/>
        </w:rPr>
        <w:t xml:space="preserve">Zitiervorschlag: § 6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