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AltPflAPrV — Sonderregelungen für Personen mit Ausbildungsnachweisen, die außerhalb des Geltungsbereichs des Altenpflegegesetzes erworben wurden</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Wer eine Erlaubnis nach § 1 des Altenpflegegesetzes beantragt, kann zum Nachweis, dass die Voraussetzung nach § 2 Abs. 1 Nr. 2 des Altenpflegegesetzes vorliegt, eine von der zuständigen Behörde des Herkunftsstaats ausgestellte entsprechende Bescheinigung oder einen von einer solchen Behörde ausgestellten Strafregisterauszug oder, wenn ein solcher nicht beigebracht werden kann, einen gleichwertigen Nachweis vorlegen. Hat die für die Erteilung der Erlaubnis nach § 1 Absatz 1 des Altenpflegegesetzes zuständige Behörde berechtigte Zweifel, kann sie von der zuständigen Behörde eines Mitgliedstaates eine Bestätigung verlangen, aus der sich ergibt, dass die antragstellende Person die Ausübung des Berufs, der dem der Altenpflegerin oder des Altenpflegers entspricht, nicht auf Grund eines schwerwiegenden standeswidrigen Verhaltens oder einer Verurteilung wegen strafbarer Handlungen dauerhaft oder vorübergehend untersagt worden ist. Hat die für die Erteilung der Erlaubnis zuständige Behörde in den Fällen der Sätze 1 und 2 von Tatbeständen Kenntnis, die außerhalb des Geltungsbereichs des Altenpflegegesetzes eingetreten sind und im Hinblick auf die Voraussetzung des § 2 Abs. 1 Nr. 2 des Altenpflegegesetzes von Bedeutung sein können, so hat sie die zuständige Stelle des Herkunftsstaats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Wer eine Erlaubnis nach § 1 des Altenpflegegesetzes beantragt und einem anderen Mitgliedstaat der Europäischen Gemeinschaft oder einem anderen Vertragsstaat des Abkommens über den Europäischen Wirtschaftsraum angehört, kann zum Nachweis, dass die Voraussetzung nach § 2 Abs. 1 Nr. 3 des Altenpflegegesetzes vorliegt, einen entsprechenden Nachweis der zuständigen Behörde seines Herkunftsstaats vorlegen. Wird im Herkunftsstaat ein solcher Nachweis nicht verlangt, ist eine von einer zuständigen Behörde dieses Staates ausgestellte Bescheinigung anzuerkennen, aus der sich ergibt, dass die Voraussetzungen des § 2 Abs. 1 Nr. 3 des Altenpflegegesetzes erfüllt sind. Absatz 1 Satz 4 und 5 gilt entsprechend.</w:t>
      </w:r>
    </w:p>
    <w:p>
      <w:r>
        <w:t xml:space="preserve">(3) Antragstellende Personen, die über einen Ausbildungsnachweis im Beruf der Altenpflegerin oder des Altenpflegers verfügen, der außerhalb des Geltungsbereichs des Altenpflegegesetzes erworben worden ist, führen nach der Anerkennung ihrer Berufsqualifikation die Berufsbezeichnung „Altenpflegerin“ oder „Altenpfleger“.</w:t>
      </w:r>
    </w:p>
    <w:p>
      <w:r>
        <w:t xml:space="preserve">(4) Die zuständige Behörde bestätigt der antragstellenden Person binnen eines Monats nach Eingang des Antrags den Antragseingang und den Empfang weiterer Unterlagen und teilt ihr mit, welche Unterlagen fehlen. Die zuständige Behörde hat über den Antrag innerhalb kürzester Frist, spätestens jedoch vier Monate nach Einreichung der vollständigen Unterlagen zu entscheiden und ihre Entscheidung ordnungsgemäß zu begründen. Werden von der zuständigen Stelle des Herkunftsstaats die in Absatz 1 Satz 1 genannten Bescheinigungen nicht ausgestellt oder die nach Absatz 1 Satz 2 oder Satz 3 nachgefragten Mitteilungen innerhalb von zwei Monaten nicht gemacht, kann die antragstellende Person sie durch Vorlage einer Bescheinigung über die Abgabe einer eidesstattlichen Erklärung gegenüber der zuständigen Behörde des Herkunftsstaats ersetzen.</w:t>
      </w:r>
    </w:p>
    <w:p>
      <w:r>
        <w:t xml:space="preserve">(5) Die zuständige Behörde hat den Dienstleistungserbringer bei der erstmaligen Anzeige einer Dienstleistungserbringung im Sinne des § 10 des Altenpflegegesetzes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Dienstleistungserbringer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rPr>
          <w:color w:val="555555"/>
          <w:sz w:val="17"/>
        </w:rPr>
        <w:t xml:space="preserve">Zitiervorschlag: § 21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