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AltGrVO (Sachsen)</w:t>
      </w:r>
    </w:p>
    <w:p>
      <w:r>
        <w:rPr>
          <w:color w:val="555555"/>
          <w:sz w:val="18"/>
        </w:rPr>
        <w:t xml:space="preserve">Altersgrenzenverordnung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7 Absatz 1 Satz 2 des Sächsischen Beamtengesetzes vom 18. Dezember 2013 (SächsGVBl. S. 970,971), der durch Artikel 1 des Gesetzes vom 11. Dezember 2018 (SächsGVBl. S. 714) neu gefasst worden ist, verordnet das Staatsministerium des Innern im Einvernehmen mit dem Staatsministerium der Finanzen:</w:t>
      </w:r>
    </w:p>
    <w:p>
      <w:r>
        <w:rPr>
          <w:color w:val="555555"/>
          <w:sz w:val="17"/>
        </w:rPr>
        <w:t xml:space="preserve">Zitiervorschlag: Eingangsformel AltGrVO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https://recht.nulegal.eu/gesetze/AltGrVO/eingangsformel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