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AltGrVO (Sachsen) — Inkrafttreten, Außerkrafttreten</w:t>
      </w:r>
    </w:p>
    <w:p>
      <w:r>
        <w:rPr>
          <w:color w:val="555555"/>
          <w:sz w:val="18"/>
        </w:rPr>
        <w:t xml:space="preserve">Altersgrenzenverordnung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tritt die Altersgrenzenverordnung vom 15. Mai 1997 (SächsGVBl. S. 436), die zuletzt durch Artikel 11 der Verordnung vom 16. September 2014 (SächsGVBl. S. 530) geändert worden ist, außer Kraft.</w:t>
      </w:r>
    </w:p>
    <w:p>
      <w:r>
        <w:t xml:space="preserve">Dresden, den 20. Mai 2025</w:t>
      </w:r>
    </w:p>
    <w:p>
      <w:r>
        <w:t xml:space="preserve">Der Staatsminister des Innern</w:t>
      </w:r>
    </w:p>
    <w:p>
      <w:r>
        <w:t xml:space="preserve">Armin Schuster</w:t>
      </w:r>
    </w:p>
    <w:p>
      <w:r>
        <w:rPr>
          <w:color w:val="555555"/>
          <w:sz w:val="17"/>
        </w:rPr>
        <w:t xml:space="preserve">Zitiervorschlag: § 2 AltGrVO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https://recht.nulegal.eu/gesetze/AltGrVO/2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