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AltGZustAnO — Besonderheiten für das Bundesministerium für Bildung und Forschung</w:t>
      </w:r>
    </w:p>
    <w:p>
      <w:r>
        <w:rPr>
          <w:color w:val="555555"/>
          <w:sz w:val="18"/>
        </w:rPr>
        <w:t xml:space="preserve">Altersgeldzuständigkeitsanordnung</w:t>
      </w:r>
    </w:p>
    <w:p>
      <w:r>
        <w:rPr>
          <w:color w:val="555555"/>
          <w:sz w:val="18"/>
        </w:rPr>
        <w:t xml:space="preserve">Historische Fassung: Stand 10.06.2019 bis 21.06.2025. Dies ist nicht die aktuelle Fassung.</w:t>
      </w:r>
    </w:p>
    <w:p>
      <w:r>
        <w:t xml:space="preserve">Beim Bundesministerium für Bildung und Forschung verbleibt nur für die Angehörigen des Ministeriums die Zuständigkeit für</w:t>
      </w:r>
    </w:p>
    <w:p>
      <w:pPr>
        <w:ind w:left="420"/>
      </w:pPr>
      <w:r>
        <w:t xml:space="preserve">1. die Erteilung von Altersgeldauskünften nach § 49 Absatz 10 des Beamtenversorgungsgesetzes in Verbindung mit § 10 Absatz 7 des Altersgeldgesetzes,</w:t>
      </w:r>
    </w:p>
    <w:p>
      <w:pPr>
        <w:ind w:left="420"/>
      </w:pPr>
      <w:r>
        <w:t xml:space="preserve">2. die Festsetzung der altersgeldfähigen Dienstbezüge und der altersgeldfähigen Dienstzeit nach § 10 Absatz 1 des Altersgeldgesetzes sowie</w:t>
      </w:r>
    </w:p>
    <w:p>
      <w:pPr>
        <w:ind w:left="420"/>
      </w:pPr>
      <w:r>
        <w:t xml:space="preserve">3. die erste Festsetzung des Altersgeldes nach § 49 Absatz 1 Satz 1 des Beamtenversorgungsgesetzes in Verbindung mit § 10 Absatz 5 des Altersgeldgesetzes.</w:t>
      </w:r>
    </w:p>
    <w:p>
      <w:r>
        <w:rPr>
          <w:color w:val="555555"/>
          <w:sz w:val="17"/>
        </w:rPr>
        <w:t xml:space="preserve">Zitiervorschlag: § 8 AltGZustAnO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https://recht.nulegal.eu/gesetze/AltGZustAnO/8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