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AltGZustAnO — Besonderheiten für das Bundesministerium der Verteidigung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Beim Bundesministerium der Verteidigung verbleibt die Zuständigkeit für</w:t>
      </w:r>
    </w:p>
    <w:p>
      <w:pPr>
        <w:ind w:left="420"/>
      </w:pPr>
      <w:r>
        <w:t xml:space="preserve">1. die Feststellung der altersgeldfähigen Dienstzeit, wenn</w:t>
      </w:r>
    </w:p>
    <w:p>
      <w:pPr>
        <w:ind w:left="780"/>
      </w:pPr>
      <w:r>
        <w:t xml:space="preserve">a) das der Berechnung des Altersgeldes zugrundeliegende letzte Amt mindestens der Besoldungsgruppe B 6 zugeordnet ist oder war oder</w:t>
      </w:r>
    </w:p>
    <w:p>
      <w:pPr>
        <w:ind w:left="780"/>
      </w:pPr>
      <w:r>
        <w:t xml:space="preserve">b) Angehörige des Amtes für Militärkunde oder des Bundesamtes für den Militärischen Abschirmdienst oder deren Hinterbliebene Leistungen nach dem Altersgeldgesetz in Anspruch nehmen wollen, sowie</w:t>
      </w:r>
    </w:p>
    <w:p>
      <w:pPr>
        <w:ind w:left="420"/>
      </w:pPr>
      <w:r>
        <w:t xml:space="preserve">2. die Bearbeitung nichtförmlicher Rechtsbehelfe, wenn ressortspezifische Belange betroffen sind.</w:t>
      </w:r>
    </w:p>
    <w:p>
      <w:r>
        <w:rPr>
          <w:color w:val="555555"/>
          <w:sz w:val="17"/>
        </w:rPr>
        <w:t xml:space="preserve">Zitiervorschlag: § 7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