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AltGZustAnO — Besonderheiten für das Bundesministerium für Wirtschaft und Energie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Beim Bundesministerium für Wirtschaft und Energie verbleibt nur für die Angehörigen des Ministeriums die Zuständigkeit für</w:t>
      </w:r>
    </w:p>
    <w:p>
      <w:pPr>
        <w:ind w:left="420"/>
      </w:pPr>
      <w:r>
        <w:t xml:space="preserve">1. die Erteilung von Altersgeldauskünften nach § 49 Absatz 10 des Beamtenversorgungsgesetzes in Verbindung mit § 10 Absatz 7 des Altersgeldgesetzes,</w:t>
      </w:r>
    </w:p>
    <w:p>
      <w:pPr>
        <w:ind w:left="420"/>
      </w:pPr>
      <w:r>
        <w:t xml:space="preserve">2. die Festsetzung der altersgeldfähigen Dienstbezüge und der altersgeldfähigen Dienstzeit nach § 10 Absatz 1 des Altersgeldgesetzes sowie</w:t>
      </w:r>
    </w:p>
    <w:p>
      <w:pPr>
        <w:ind w:left="420"/>
      </w:pPr>
      <w:r>
        <w:t xml:space="preserve">3. die erste Festsetzung des Altersgeldes nach § 49 Absatz 1 Satz 1 des Beamtenversorgungsgesetzes in Verbindung mit § 10 Absatz 5 des Altersgeldgesetzes.</w:t>
      </w:r>
    </w:p>
    <w:p>
      <w:r>
        <w:rPr>
          <w:color w:val="555555"/>
          <w:sz w:val="17"/>
        </w:rPr>
        <w:t xml:space="preserve">Zitiervorschlag: § 6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