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AltGZustAnO — Andere Rechtsgebiete</w:t>
      </w:r>
    </w:p>
    <w:p>
      <w:r>
        <w:rPr>
          <w:color w:val="555555"/>
          <w:sz w:val="18"/>
        </w:rPr>
        <w:t xml:space="preserve">Altersgeldzuständigkeitsanordnung</w:t>
      </w:r>
    </w:p>
    <w:p>
      <w:r>
        <w:rPr>
          <w:color w:val="555555"/>
          <w:sz w:val="18"/>
        </w:rPr>
        <w:t xml:space="preserve">Historische Fassung: Stand 10.06.2019 bis 21.06.2025. Dies ist nicht die aktuelle Fassung.</w:t>
      </w:r>
    </w:p>
    <w:p>
      <w:r>
        <w:t xml:space="preserve">Die Zuständigkeit für Aufgaben, die zwar im Zusammenhang mit dem Altersgeldgesetz stehen, aber schwerpunktmäßig andere Rechtsgebiete betreffen, bleibt unberührt.</w:t>
      </w:r>
    </w:p>
    <w:p>
      <w:r>
        <w:rPr>
          <w:color w:val="555555"/>
          <w:sz w:val="17"/>
        </w:rPr>
        <w:t xml:space="preserve">Zitiervorschlag: § 13 AltGZustAnO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https://recht.nulegal.eu/gesetze/AltGZustAnO/13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