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AltGZustAnO — Gegenstand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Diese Anordnung regelt die Zuständigkeit für</w:t>
      </w:r>
    </w:p>
    <w:p>
      <w:pPr>
        <w:ind w:left="420"/>
      </w:pPr>
      <w:r>
        <w:t xml:space="preserve">1. die Festsetzung der Leistungen nach dem Altersgeldgesetz,</w:t>
      </w:r>
    </w:p>
    <w:p>
      <w:pPr>
        <w:ind w:left="420"/>
      </w:pPr>
      <w:r>
        <w:t xml:space="preserve">2. Maßnahmen im Zusammenhang mit dem Versorgungsausgleich und die Durchführung des Bundesversorgungsteilungsgesetzes, wenn Anspruch auf Altersgeld besteht,</w:t>
      </w:r>
    </w:p>
    <w:p>
      <w:pPr>
        <w:ind w:left="420"/>
      </w:pPr>
      <w:r>
        <w:t xml:space="preserve">3. die Versorgungslastenteilung, wenn Anspruch auf Altersgeld besteht,</w:t>
      </w:r>
    </w:p>
    <w:p>
      <w:pPr>
        <w:ind w:left="420"/>
      </w:pPr>
      <w:r>
        <w:t xml:space="preserve">4. weitere Aufgaben, die im Zusammenhang mit den Aufgaben nach den Nummern 1 bis 3 stehen, und</w:t>
      </w:r>
    </w:p>
    <w:p>
      <w:pPr>
        <w:ind w:left="420"/>
      </w:pPr>
      <w:r>
        <w:t xml:space="preserve">5. die Entscheidung über Widersprüche und die Vertretung des Dienstherrn bei Klagen aus den in den Nummern 1 bis 4 genannten Bereichen.</w:t>
      </w:r>
    </w:p>
    <w:p>
      <w:r>
        <w:rPr>
          <w:color w:val="555555"/>
          <w:sz w:val="17"/>
        </w:rPr>
        <w:t xml:space="preserve">Zitiervorschlag: § 1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