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AltGG — Höhe des Altersgelds</w:t>
      </w:r>
    </w:p>
    <w:p>
      <w:r>
        <w:rPr>
          <w:color w:val="555555"/>
          <w:sz w:val="18"/>
        </w:rPr>
        <w:t xml:space="preserve">Altersgeldgesetz</w:t>
      </w:r>
    </w:p>
    <w:p>
      <w:r>
        <w:rPr>
          <w:color w:val="555555"/>
          <w:sz w:val="18"/>
        </w:rPr>
        <w:t xml:space="preserve">Stand: 01.08.2021 (konsolidierte Textfassung, kein amtliches Inkrafttretensdatum)</w:t>
      </w:r>
    </w:p>
    <w:p>
      <w:r>
        <w:t xml:space="preserve">(1) Die Höhe des Altersgelds beträgt für jedes Jahr altersgeldfähiger Dienstzeit 1,79375 Prozent der altersgeldfähigen Dienstbezüge, insgesamt jedoch höchstens 71,75 Prozent, multipliziert mit 0,85, sofern bei der Ermittlung des Altersgelds eine altersgeldfähige Dienstzeit von weniger als zwölf Jahren berücksichtigt wird, ansonsten mit 0,95. § 14 Absatz 1 Satz 2 bis 4 des Beamtenversorgungsgesetzes gilt entsprechend.</w:t>
      </w:r>
    </w:p>
    <w:p>
      <w:r>
        <w:t xml:space="preserve">(2) In den Fällen des § 3 Absatz 3 Satz 2 wird die Höhe des Altersgelds nach Absatz 1 um 3,6 Prozent für jedes Jahr vermindert, für das Altersgeld vor Ablauf des Monats gezahlt wird, in dem der Altersgeldberechtigte die Regelaltersgrenze nach § 35 Satz 2 oder § 235 Absatz 2 des Sechsten Buches Sozialgesetzbuch erreicht; die Minderung darf 10,8 Prozent nicht übersteigen. § 14 Absatz 1 Satz 2 bis 4 des Beamtenversorgungsgesetzes gilt entsprechend.</w:t>
      </w:r>
    </w:p>
    <w:p>
      <w:r>
        <w:t xml:space="preserve">(3) Endet das Ruhen des Anspruchs auf Altersgeld nach § 3 Absatz 3 Satz 2 Nummer 3 oder Nummer 4, wird die Höhe des Altersgelds bis zum Erreichen der maßgeblichen Regelaltersgrenze mit 0,5 multipliziert.</w:t>
      </w:r>
    </w:p>
    <w:p>
      <w:r>
        <w:t xml:space="preserve">(4) Werden die Versorgungsbezüge nach § 70 des Beamtenversorgungsgesetzes allgemein erhöht oder vermindert, erhöhen oder vermindern sich die der Berechnung des Altersgelds zugrunde liegenden altersgeldfähigen Dienstbezüge nach § 5 Absatz 1 entsprechend. Einmalzahlungen bleiben unberücksichtigt.</w:t>
      </w:r>
    </w:p>
    <w:p>
      <w:r>
        <w:t xml:space="preserve">(5) Die Höhe des Altersgelds und des Hinterbliebenenaltersgelds darf nicht geringer sein als die Höhe des Rentenanspruchs, der sich ergeben hätte, wenn der Altersgeldberechtigte für die Zeit der versicherungsfreien Beschäftigung in der gesetzlichen Rentenversicherung nachversichert worden wäre. Die Vergleichsberechnung hat die Stelle vorzunehmen, die das Altersgeld oder das Hinterbliebenenaltersgeld auszahlt. Die erforderliche Auskunft holt sie sich beim zuständigen Rentenversicherungsträger der gesetzlichen Rentenversicherung ein.</w:t>
      </w:r>
    </w:p>
    <w:p>
      <w:r>
        <w:rPr>
          <w:color w:val="555555"/>
          <w:sz w:val="17"/>
        </w:rPr>
        <w:t xml:space="preserve">Zitiervorschlag: § 7 AltGG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