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AltGG — Altersgeldfähige Dienstbezüge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Altersgeldfähige Dienstbezüge sind</w:t>
      </w:r>
    </w:p>
    <w:p>
      <w:pPr>
        <w:ind w:left="420"/>
      </w:pPr>
      <w:r>
        <w:t xml:space="preserve">1. das Grundgehalt,</w:t>
      </w:r>
    </w:p>
    <w:p>
      <w:pPr>
        <w:ind w:left="420"/>
      </w:pPr>
      <w:r>
        <w:t xml:space="preserve">2. sonstige Dienstbezüge, die im Besoldungsrecht als ruhegehaltfähig bezeichnet sind,</w:t>
      </w:r>
    </w:p>
    <w:p>
      <w:pPr>
        <w:ind w:left="420"/>
      </w:pPr>
      <w:r>
        <w:t xml:space="preserve">3. Leistungsbezüge nach § 33 Absatz 1 des Bundesbesoldungsgesetzes, soweit sie ruhegehaltfähig sind.</w:t>
      </w:r>
    </w:p>
    <w:p>
      <w:r>
        <w:t xml:space="preserve">Bei den Dienstbezügen nach Satz 1 Nummer 1 und 2 sind die Dienstbezüge maßgebend, die dem Altersgeldberechtigten zuletzt zugestanden haben; sie sind mit 0,9901 zu multiplizieren.</w:t>
      </w:r>
    </w:p>
    <w:p>
      <w:r>
        <w:t xml:space="preserve">(2) Bei Teilzeitbeschäftigung oder bei Beurlaubung ohne Dienstbezüge gelten als altersgeldfähige Dienstbezüge die dem letzten Amt entsprechenden vollen altersgeldfähigen Dienstbezüge; dies gilt auch bei eingeschränkter Verwendung wegen begrenzter Dienstfähigkeit nach § 45 des Bundesbeamtengesetzes.</w:t>
      </w:r>
    </w:p>
    <w:p>
      <w:r>
        <w:t xml:space="preserve">(3) § 5 Absatz 3, 5 und 6 des Beamtenversorgungsgesetzes gilt entsprechend.</w:t>
      </w:r>
    </w:p>
    <w:p>
      <w:r>
        <w:rPr>
          <w:color w:val="555555"/>
          <w:sz w:val="17"/>
        </w:rPr>
        <w:t xml:space="preserve">Zitiervorschlag: § 5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