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AltGG — Allgemeines</w:t>
      </w:r>
    </w:p>
    <w:p>
      <w:r>
        <w:rPr>
          <w:color w:val="555555"/>
          <w:sz w:val="18"/>
        </w:rPr>
        <w:t xml:space="preserve">Altersgeldgesetz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Altersgeld und das Hinterbliebenenaltersgeld werden durch Gesetz geregelt.</w:t>
      </w:r>
    </w:p>
    <w:p>
      <w:r>
        <w:t xml:space="preserve">(2) § 3 Absatz 2 des Beamtenversorgungsgesetzes gilt entsprechend.</w:t>
      </w:r>
    </w:p>
    <w:p>
      <w:r>
        <w:t xml:space="preserve">(3) Soweit in diesem Gesetz auf Vorschriften des Beamtenversorgungsgesetzes verwiesen wird, sind bei Soldaten die entsprechenden Vorschriften des Soldatenversorgungsgesetzes anzuwenden. Verweisen anzuwendende Vorschriften des Beamtenversorgungsgesetzes auf den Unterschiedsbetrag nach § 50 Absatz 1, ist dieser Verweis insoweit unbeachtlich.</w:t>
      </w:r>
    </w:p>
    <w:p>
      <w:r>
        <w:t xml:space="preserve">(4) Rechtsvorschriften, nach denen in den Fällen einer Entlassung auf Verlangen die Kosten eines Studiums oder einer sonstigen Ausbildung ganz oder teilweise zu erstatten sind, bleiben unberührt.</w:t>
      </w:r>
    </w:p>
    <w:p>
      <w:r>
        <w:rPr>
          <w:color w:val="555555"/>
          <w:sz w:val="17"/>
        </w:rPr>
        <w:t xml:space="preserve">Zitiervorschlag: § 2 AltGG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https://recht.nulegal.eu/gesetze/AltGG/2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