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AltGG — Verteilung der Altersgeldlasten</w:t>
      </w:r>
    </w:p>
    <w:p>
      <w:r>
        <w:rPr>
          <w:color w:val="555555"/>
          <w:sz w:val="18"/>
        </w:rPr>
        <w:t xml:space="preserve">Altersgeldgesetz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§ 107b des Beamtenversorgungsgesetzes gilt zwischen Dienstherren, die dem Bundesrecht unterliegen, entsprechend mit der Maßgabe, dass</w:t>
      </w:r>
    </w:p>
    <w:p>
      <w:pPr>
        <w:ind w:left="420"/>
      </w:pPr>
      <w:r>
        <w:t xml:space="preserve">1. das Altersgeld als regelmäßig wiederkehrende Leistung nach § 107b Absatz 2 Satz 1 des Beamtenversorgungsgesetzes gilt,</w:t>
      </w:r>
    </w:p>
    <w:p>
      <w:pPr>
        <w:ind w:left="420"/>
      </w:pPr>
      <w:r>
        <w:t xml:space="preserve">2. an die Stelle des Eintritts des Versorgungsfalls der Zeitpunkt der Gewährung von Altersgeld tritt,</w:t>
      </w:r>
    </w:p>
    <w:p>
      <w:pPr>
        <w:ind w:left="420"/>
      </w:pPr>
      <w:r>
        <w:t xml:space="preserve">3. an die Stelle der ruhegehaltfähigen Dienstzeiten die als altersgeldfähig zu berücksichtigenden Dienstzeiten treten.</w:t>
      </w:r>
    </w:p>
    <w:p>
      <w:r>
        <w:rPr>
          <w:color w:val="555555"/>
          <w:sz w:val="17"/>
        </w:rPr>
        <w:t xml:space="preserve">Zitiervorschlag: § 16 AltGG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