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AltGG — Kürzung des Altersgelds nach Ehescheidung</w:t>
      </w:r>
    </w:p>
    <w:p>
      <w:r>
        <w:rPr>
          <w:color w:val="555555"/>
          <w:sz w:val="18"/>
        </w:rPr>
        <w:t xml:space="preserve">Altersgeldgesetz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durch Entscheidung des Familiengerichts</w:t>
      </w:r>
    </w:p>
    <w:p>
      <w:pPr>
        <w:ind w:left="420"/>
      </w:pPr>
      <w:r>
        <w:t xml:space="preserve">1. Anwartschaften in einer gesetzlichen Rentenversicherung nach § 1587b Absatz 2 des Bürgerlichen Gesetzbuchs in der bis zum 31. August 2009 geltenden Fassung oder</w:t>
      </w:r>
    </w:p>
    <w:p>
      <w:pPr>
        <w:ind w:left="420"/>
      </w:pPr>
      <w:r>
        <w:t xml:space="preserve">2. Anrechte nach dem Gesetz über den Versorgungsausgleich vom 3. April 2009 (BGBl. I S. 700)</w:t>
      </w:r>
    </w:p>
    <w:p>
      <w:r>
        <w:t xml:space="preserve">übertragen oder begründet worden, werden nach Wirksamkeit dieser Entscheidung das Altersgeld der ausgleichspflichtigen Person und das Witwen- und Waisenaltersgeld ihrer Hinterbliebenen nach Anwendung von Ruhens-, Kürzungs- und Anrechnungsvorschriften um den nach Absatz 2 oder Absatz 3 berechneten Betrag gekürzt. § 57 Absatz 1 Satz 3 des Beamtenversorgungsgesetzes gilt entsprechend.</w:t>
      </w:r>
    </w:p>
    <w:p>
      <w:r>
        <w:t xml:space="preserve">(2) Der Kürzungsbetrag für das Altersgeld und für das Hinterbliebenenaltersgeld berechnet sich in sinngemäßer Anwendung des § 57 Absatz 2 und 3 des Beamtenversorgungsgesetzes. An die Stelle des Eintritts in den Ruhestand tritt dabei der Zeitpunkt nach § 3 Absatz 3 Satz 1 oder Satz 2.</w:t>
      </w:r>
    </w:p>
    <w:p>
      <w:r>
        <w:t xml:space="preserve">(3) Die Kürzung des Altersgelds oder des Hinterbliebenenaltersgelds kann von den Berechtigten ganz oder teilweise durch Zahlung eines Kapitalbetrags an den Dienstherrn abgewendet werden. § 58 Absatz 2 bis 4 des Beamtenversorgungsgesetzes gilt entsprechend.</w:t>
      </w:r>
    </w:p>
    <w:p>
      <w:r>
        <w:rPr>
          <w:color w:val="555555"/>
          <w:sz w:val="17"/>
        </w:rPr>
        <w:t xml:space="preserve">Zitiervorschlag: § 15 AltGG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