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AltGG — Zusammentreffen von Altersgeld, Witwenaltersgeld und Waisenaltersgeld mit einer laufenden Alterssicherungsleistung aus zwischenstaatlicher oder überstaatlicher Verwendung</w:t>
      </w:r>
    </w:p>
    <w:p>
      <w:r>
        <w:rPr>
          <w:color w:val="555555"/>
          <w:sz w:val="18"/>
        </w:rPr>
        <w:t xml:space="preserve">Altersgeldgesetz</w:t>
      </w:r>
    </w:p>
    <w:p>
      <w:r>
        <w:rPr>
          <w:color w:val="555555"/>
          <w:sz w:val="18"/>
        </w:rPr>
        <w:t xml:space="preserve">Stand: 01.07.2020 (konsolidierte Textfassung, kein amtliches Inkrafttretensdatum)</w:t>
      </w:r>
    </w:p>
    <w:p>
      <w:r>
        <w:t xml:space="preserve">(1) Erhält ein Altersgeld-, Witwenaltersgeld- oder Waisenaltersgeldberechtigter aus einer Verwendung des Altersgeldberechtigten im öffentlichen Dienst einer zwischenstaatlichen oder überstaatlichen Einrichtung von dieser Einrichtung eine laufende Versorgung und ist die Zeit der Verwendung nach § 6 Absatz 1 oder § 18 Absatz 1 in Verbindung mit § 6a des Beamtenversorgungsgesetzes altersgeldfähig, so ruht das Alters-und Hinterbliebenenaltersgeld in entsprechender Anwendung des § 56 Absatz 2 bis 4 des Beamtenversorgungsgesetzes mit der Maßgabe, dass die aus der Verwendung erworbene Versorgung in dem Umfang unberücksichtigt bleibt, in dem sie nach Entstehen des Anspruchs auf Altersgeld nach diesem Gesetz erworben worden ist. Satz 1 gilt nicht, wenn der Altersgeldberechtigte erneut in ein Beamtenverhältnis berufen wurde und einen Anspruch auf Versorgung nach dem Beamtenversorgungsgesetz hat.</w:t>
      </w:r>
    </w:p>
    <w:p>
      <w:r>
        <w:t xml:space="preserve">(2) Der sich nach Absatz 1 ergebende Ruhensbetrag ist von dem nach Anwendung der §§ 11 bis 13 verbleibenden Altersgeld abzuziehen.</w:t>
      </w:r>
    </w:p>
    <w:p>
      <w:r>
        <w:rPr>
          <w:color w:val="555555"/>
          <w:sz w:val="17"/>
        </w:rPr>
        <w:t xml:space="preserve">Zitiervorschlag: § 14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