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AltGG — Zusammentreffen von Altersgeld und Hinterbliebenenaltersgeld mit Renten</w:t>
      </w:r>
    </w:p>
    <w:p>
      <w:r>
        <w:rPr>
          <w:color w:val="555555"/>
          <w:sz w:val="18"/>
        </w:rPr>
        <w:t xml:space="preserve">Altersgeldgesetz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§ 55 Absatz 1 bis 5 und 8 des Beamtenversorgungsgesetzes gilt entsprechend mit der Maßgabe, dass</w:t>
      </w:r>
    </w:p>
    <w:p>
      <w:pPr>
        <w:ind w:left="420"/>
      </w:pPr>
      <w:r>
        <w:t xml:space="preserve">1. Renten im Sinne des Absatzes 1 Satz 2 in dem Umfang unberücksichtigt bleiben, in dem sie nach Entstehen des Anspruchs auf Altersgeld nach diesem Gesetz erworben worden sind;</w:t>
      </w:r>
    </w:p>
    <w:p>
      <w:pPr>
        <w:ind w:left="420"/>
      </w:pPr>
      <w:r>
        <w:t xml:space="preserve">2. in Absatz 2 Satz 1 Nummer 1 Buchstabe a an die Stelle der ruhegehaltfähigen Dienstbezüge aus der Endstufe der Besoldungsgruppe, aus der sich das Ruhegehalt bestimmt, die altersgeldfähigen Dienstbezüge treten;</w:t>
      </w:r>
    </w:p>
    <w:p>
      <w:pPr>
        <w:ind w:left="420"/>
      </w:pPr>
      <w:r>
        <w:t xml:space="preserve">3. an die Stelle der nach Absatz 2 Satz 1 Nummer 1 Buchstabe b zu ermittelnden Zeit die Zeit zwischen der Vollendung des 17. Lebensjahrs und der Beendigung des den Anspruch auf Altersgeld begründenden Dienstverhältnisses abzüglich der Zeiten nach § 12a des Beamtenversorgungsgesetzes, zuzüglich altersgeldfähiger Dienstzeiten vor Vollendung des 17. Lebensjahres, tritt;</w:t>
      </w:r>
    </w:p>
    <w:p>
      <w:pPr>
        <w:ind w:left="420"/>
      </w:pPr>
      <w:r>
        <w:t xml:space="preserve">4. in Absatz 2 Satz 1 Nummer 2 an die Stelle des Witwengelds das Witwenaltersgeld und an die Stelle des Waisengelds das Waisenaltersgeld nach diesem Gesetz treten;</w:t>
      </w:r>
    </w:p>
    <w:p>
      <w:pPr>
        <w:ind w:left="420"/>
      </w:pPr>
      <w:r>
        <w:t xml:space="preserve">5. in Absatz 2 Satz 2 an die Stelle der Minderung nach § 14 Absatz 3 des Beamtenversorgungsgesetzes die Minderung nach § 7 Absatz 2 dieses Gesetzes tritt;</w:t>
      </w:r>
    </w:p>
    <w:p>
      <w:pPr>
        <w:ind w:left="420"/>
      </w:pPr>
      <w:r>
        <w:t xml:space="preserve">6. die Höchstgrenze unter Anwendung des § 7 Absatz 3 festzusetzen ist, wenn das an der Ruhensregelung beteiligte Altersgeld in entsprechender Anwendung dieser Vorschrift ermittelt worden ist;</w:t>
      </w:r>
    </w:p>
    <w:p>
      <w:pPr>
        <w:ind w:left="420"/>
      </w:pPr>
      <w:r>
        <w:t xml:space="preserve">7. in Absatz 5 an die Stelle des § 53 der § 11 dieses Gesetzes tritt.</w:t>
      </w:r>
    </w:p>
    <w:p>
      <w:r>
        <w:t xml:space="preserve">(2) Absatz 1 ist nicht anzuwenden, wenn der Altersgeldberechtigte Anspruch auf Versorgung nach dem Beamtenversorgungsgesetz hat.</w:t>
      </w:r>
    </w:p>
    <w:p>
      <w:r>
        <w:rPr>
          <w:color w:val="555555"/>
          <w:sz w:val="17"/>
        </w:rPr>
        <w:t xml:space="preserve">Zitiervorschlag: § 13 AltGG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