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AltFRG — Umrechnung, Tilgungsleistungen</w:t>
      </w:r>
    </w:p>
    <w:p>
      <w:r>
        <w:rPr>
          <w:color w:val="555555"/>
          <w:sz w:val="18"/>
        </w:rPr>
        <w:t xml:space="preserve">Altforderungsregelungsgesetz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Renten-, Reichs- oder Goldmark oder vergleichbare Währungsbezeichnungen sind im Verhältnis 2 zu 1 auf Deutsche Mark, umgestellt auf Euro, umzurechnen.</w:t>
      </w:r>
    </w:p>
    <w:p>
      <w:r>
        <w:t xml:space="preserve">(2) Bereits erbrachte Tilgungsleistungen sind anzurechnen.</w:t>
      </w:r>
    </w:p>
    <w:p>
      <w:r>
        <w:rPr>
          <w:color w:val="555555"/>
          <w:sz w:val="17"/>
        </w:rPr>
        <w:t xml:space="preserve">Zitiervorschlag: § 3 AltFRG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https://recht.nulegal.eu/gesetze/AltFRG/3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