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AltölV — Kennzeichnung der Gebinde</w:t>
      </w:r>
    </w:p>
    <w:p>
      <w:r>
        <w:rPr>
          <w:color w:val="555555"/>
          <w:sz w:val="18"/>
        </w:rPr>
        <w:t xml:space="preserve">Altölverordnung</w:t>
      </w:r>
    </w:p>
    <w:p>
      <w:r>
        <w:rPr>
          <w:color w:val="555555"/>
          <w:sz w:val="18"/>
        </w:rPr>
        <w:t xml:space="preserve">Stand: 15.10.2020 (konsolidierte Textfassung, kein amtliches Inkrafttretensdatum)</w:t>
      </w:r>
    </w:p>
    <w:p>
      <w:r>
        <w:t xml:space="preserve">Verbrennungsmotoren- oder Getriebeöle dürfen in Gebinden nur in Verkehr gebracht werden, wenn sie durch Aufdruck oder Aufkleber folgendermaßen gekennzeichnet sind: "Dieses Öl gehört nach Gebrauch in eine Altölannahmestelle! Unsachgemäße Beseitigung von Altöl gefährdet die Umwelt! Jede Beimischung von Fremdstoffen wie Lösemitteln, Benzin, Brems- und Kühlflüssigkeiten ist verboten."</w:t>
      </w:r>
    </w:p>
    <w:p>
      <w:r>
        <w:rPr>
          <w:color w:val="555555"/>
          <w:sz w:val="17"/>
        </w:rPr>
        <w:t xml:space="preserve">Zitiervorschlag: § 7 AltölV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https://recht.nulegal.eu/gesetze/Alt%C3%B6lV/7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