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AltölV — Ergänzende Erklärungen zur Nachweisführung</w:t>
      </w:r>
    </w:p>
    <w:p>
      <w:r>
        <w:rPr>
          <w:color w:val="555555"/>
          <w:sz w:val="18"/>
        </w:rPr>
        <w:t xml:space="preserve">Altölverordnung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Wer Altöle</w:t>
      </w:r>
    </w:p>
    <w:p>
      <w:pPr>
        <w:ind w:left="420"/>
      </w:pPr>
      <w:r>
        <w:t xml:space="preserve">1. als Altölsammler zum Zwecke der stofflichen oder energetischen Verwertung abgibt oder</w:t>
      </w:r>
    </w:p>
    <w:p>
      <w:pPr>
        <w:ind w:left="420"/>
      </w:pPr>
      <w:r>
        <w:t xml:space="preserve">2. gewerbsmäßig, im Rahmen wirtschaftlicher Unternehmen oder als öffentliche Einrichtung an Unternehmen der Altölsammlung zum Zwecke der stofflichen oder energetischen Verwertung abgibt,</w:t>
      </w:r>
    </w:p>
    <w:p>
      <w:r>
        <w:t xml:space="preserve">hat gleichzeitig mit der Abgabe oder vor der Verbringung eine Erklärung nach dem in Anlage 3 enthaltenen Muster abzugeben. Die Vorschriften der Nachweisverordnung bleiben unberührt.</w:t>
      </w:r>
    </w:p>
    <w:p>
      <w:r>
        <w:t xml:space="preserve">(2) Wer Altöle nach § 5 Absatz 2 Satz 1 untersuchen muss, hat die ermittelten Gehalte an PCB und Gesamthalogen ergänzend in die Erklärung nach Anlage 3 einzutragen, auch soweit er nicht nach Absatz 1 verpflichtet ist.</w:t>
      </w:r>
    </w:p>
    <w:p>
      <w:r>
        <w:t xml:space="preserve">(3) Je eine Ausfertigung der Erklärung ist von dem nach Absatz 1 Satz 1 Verpflichteten und dem Unternehmen, welches das Altöl übernimmt, drei Jahre aufzubewahren.</w:t>
      </w:r>
    </w:p>
    <w:p>
      <w:r>
        <w:t xml:space="preserve">(4) Der nach Absatz 1 Nummer 1 zur Erklärung Verpflichtete kann die Erklärung nach Absatz 1 statt in Anlage 3 im Formblatt Deklarationsanalyse des Entsorgungsnachweises eintragen. Der nach Absatz 1 Nummer 2 zur Erklärung Verpflichtete kann die Erklärung nach Absatz 1 statt in Anlage 3 in den Übernahmescheinen nach § 12 der Nachweisverordnung im Feld "Frei für Vermerke" eintragen.</w:t>
      </w:r>
    </w:p>
    <w:p>
      <w:r>
        <w:t xml:space="preserve">(5) Der nach Absatz 2 zur Untersuchung Verpflichtete kann die ermittelten Gehalte an PCB und Gesamthalogen statt in Anlage 3 auf den Begleitscheinen nach § 10 der Nachweisverordnung im Feld "Frei für Vermerke" eintragen.</w:t>
      </w:r>
    </w:p>
    <w:p>
      <w:r>
        <w:t xml:space="preserve">(6) Für die Abgabe der ergänzenden Erklärungen zur Nachweisführung nach Absatz 4 Satz 1 und 2 und Absatz 5 finden die Bestimmungen der Nachweisverordnung zur elektronischen Führung von Nachweisen entsprechende Anwendung, einschließlich des § 30 der Nachweisverordnung.</w:t>
      </w:r>
    </w:p>
    <w:p>
      <w:r>
        <w:rPr>
          <w:color w:val="555555"/>
          <w:sz w:val="17"/>
        </w:rPr>
        <w:t xml:space="preserve">Zitiervorschlag: § 6 AltölV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https://recht.nulegal.eu/gesetze/Alt%C3%B6lV/6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