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AltölV — Entnahme, Untersuchung und Aufbewahrung von Proben</w:t>
      </w:r>
    </w:p>
    <w:p>
      <w:r>
        <w:rPr>
          <w:color w:val="555555"/>
          <w:sz w:val="18"/>
        </w:rPr>
        <w:t xml:space="preserve">Altölverordnung</w:t>
      </w:r>
    </w:p>
    <w:p>
      <w:r>
        <w:rPr>
          <w:color w:val="555555"/>
          <w:sz w:val="18"/>
        </w:rPr>
        <w:t xml:space="preserve">Stand: 15.10.2020 (konsolidierte Textfassung, kein amtliches Inkrafttretensdatum)</w:t>
      </w:r>
    </w:p>
    <w:p>
      <w:r>
        <w:t xml:space="preserve">(1) Unternehmen der Altölsammlung haben bei der Übernahme von Altölen der Sammelkategorien 1 und 2 eine Probe zu entnehmen. Je eine Teilmenge dieser Probe (Rückstellprobe) ist von der Anfallstelle und vom Unternehmen der Altölsammlung aufzubewahren, bis die nach Absatz 2 vorgeschriebene Untersuchung durchgeführt worden ist und feststeht, dass die Altöle ordnungsgemäß entsorgt werden können.</w:t>
      </w:r>
    </w:p>
    <w:p>
      <w:r>
        <w:t xml:space="preserve">(2) Wer Altöle stofflich oder energetisch verwertet, muss die Gehalte an PCB und Gesamthalogen in diesen Abfällen untersuchen oder untersuchen lassen. Nimmt der Betreiber einer Altölentsorgungsanlage die Untersuchung nicht selbst vor, ist sie von einer notifizierten Untersuchungsstelle durchzuführen. Grundlage für diese Notifizierung ist eine Akkreditierung nach DIN EN ISO 17025. Nimmt der Betreiber einer Altölentsorgungsanlage die Untersuchung selbst vor, ohne regelmäßig mit Erfolg an Ringversuchen teilzunehmen, kann die zuständige Behörde die Untersuchung durch eine bestimmte Untersuchungsstelle vorschreiben.</w:t>
      </w:r>
    </w:p>
    <w:p>
      <w:r>
        <w:t xml:space="preserve">(3) Aus den zu untersuchenden Altölen ist eine Probe zu entnehmen. Eine Teilmenge dieser Probe (Rückstellprobe) ist von dem nach Absatz 2 Untersuchungspflichtigen drei Jahre aufzubewahren. Die Entnahme, Untersuchung und Aufbewahrung von Proben zur Überwachung der in § 3 festgesetzten Grenzwerte erfolgt nach dem in Anlage 2 beschriebenen Verfahren.</w:t>
      </w:r>
    </w:p>
    <w:p>
      <w:r>
        <w:t xml:space="preserve">(4) Ergibt die Untersuchung nach Absatz 2, dass die Grenzwerte nach § 3 Satz 1 überschritten sind, hat der nach Absatz 2 Satz 1 Untersuchungspflichtige die für das Unternehmen des Altölsammlers zuständige Behörde unverzüglich zu unterrichten. Die nach Absatz 1 Satz 2 und Absatz 3 Satz 2 zur Aufbewahrung von Rückstellproben Verpflichteten haben die Rückstellproben der zuständigen Behörde auf Verlangen zu überlassen.</w:t>
      </w:r>
    </w:p>
    <w:p>
      <w:r>
        <w:rPr>
          <w:color w:val="555555"/>
          <w:sz w:val="17"/>
        </w:rPr>
        <w:t xml:space="preserve">Zitiervorschlag: § 5 AltölV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https://recht.nulegal.eu/gesetze/Alt%C3%B6lV/5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