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1a AltölV — Definitionen</w:t>
      </w:r>
    </w:p>
    <w:p>
      <w:r>
        <w:rPr>
          <w:color w:val="555555"/>
          <w:sz w:val="18"/>
        </w:rPr>
        <w:t xml:space="preserve">Altölverordnung</w:t>
      </w:r>
    </w:p>
    <w:p>
      <w:r>
        <w:rPr>
          <w:color w:val="555555"/>
          <w:sz w:val="18"/>
        </w:rPr>
        <w:t xml:space="preserve">Stand: 15.10.2020 (konsolidierte Textfassung, kein amtliches Inkrafttretensdatum)</w:t>
      </w:r>
    </w:p>
    <w:p>
      <w:r>
        <w:t xml:space="preserve">(1) Altöle im Sinne dieser Verordnung sind Öle, die als Abfall anfallen und die ganz oder teilweise aus Mineralöl, synthetischem oder biogenem Öl bestehen.</w:t>
      </w:r>
    </w:p>
    <w:p>
      <w:r>
        <w:t xml:space="preserve">(2) Aufbereitung ist jedes Verfahren, bei dem Basisöle durch Raffinationsverfahren aus Altölen erzeugt werden und bei denen insbesondere die Abtrennung der Schadstoffe, der Oxidationsprodukte und der Zusätze in diesen Ölen erfolgt.</w:t>
      </w:r>
    </w:p>
    <w:p>
      <w:r>
        <w:t xml:space="preserve">(3) Basisöle sind unlegierte Grundöle zur Herstellung der folgenden nach Sortengruppen spezifizierten Erzeugnisse:</w:t>
      </w:r>
    </w:p>
    <w:p>
      <w:r>
        <w:rPr>
          <w:rFonts w:ascii="Courier New" w:hAnsi="Courier New"/>
          <w:sz w:val="17"/>
        </w:rPr>
        <w:t xml:space="preserve">Sortengruppe 01    Motorenöle</w:t>
      </w:r>
    </w:p>
    <w:p>
      <w:r>
        <w:rPr>
          <w:rFonts w:ascii="Courier New" w:hAnsi="Courier New"/>
          <w:sz w:val="17"/>
        </w:rPr>
        <w:t xml:space="preserve">Sortengruppe 02    Getriebeöle</w:t>
      </w:r>
    </w:p>
    <w:p>
      <w:r>
        <w:rPr>
          <w:rFonts w:ascii="Courier New" w:hAnsi="Courier New"/>
          <w:sz w:val="17"/>
        </w:rPr>
        <w:t xml:space="preserve">Sortengruppe 03    Hydrauliköle</w:t>
      </w:r>
    </w:p>
    <w:p>
      <w:r>
        <w:rPr>
          <w:rFonts w:ascii="Courier New" w:hAnsi="Courier New"/>
          <w:sz w:val="17"/>
        </w:rPr>
        <w:t xml:space="preserve">Sortengruppe 04    Turbinenöle</w:t>
      </w:r>
    </w:p>
    <w:p>
      <w:r>
        <w:rPr>
          <w:rFonts w:ascii="Courier New" w:hAnsi="Courier New"/>
          <w:sz w:val="17"/>
        </w:rPr>
        <w:t xml:space="preserve">Sortengruppe 05    Elektroisolieröle</w:t>
      </w:r>
    </w:p>
    <w:p>
      <w:r>
        <w:rPr>
          <w:rFonts w:ascii="Courier New" w:hAnsi="Courier New"/>
          <w:sz w:val="17"/>
        </w:rPr>
        <w:t xml:space="preserve">Sortengruppe 06    Kompressorenöle</w:t>
      </w:r>
    </w:p>
    <w:p>
      <w:r>
        <w:rPr>
          <w:rFonts w:ascii="Courier New" w:hAnsi="Courier New"/>
          <w:sz w:val="17"/>
        </w:rPr>
        <w:t xml:space="preserve">Sortengruppe 07    Maschinenöle</w:t>
      </w:r>
    </w:p>
    <w:p>
      <w:r>
        <w:rPr>
          <w:rFonts w:ascii="Courier New" w:hAnsi="Courier New"/>
          <w:sz w:val="17"/>
        </w:rPr>
        <w:t xml:space="preserve">Sortengruppe 08    Andere Industrieöle, nicht für Schmierzwecke</w:t>
      </w:r>
    </w:p>
    <w:p>
      <w:r>
        <w:rPr>
          <w:rFonts w:ascii="Courier New" w:hAnsi="Courier New"/>
          <w:sz w:val="17"/>
        </w:rPr>
        <w:t xml:space="preserve">Sortengruppe 09    Prozessöle</w:t>
      </w:r>
    </w:p>
    <w:p>
      <w:r>
        <w:rPr>
          <w:rFonts w:ascii="Courier New" w:hAnsi="Courier New"/>
          <w:sz w:val="17"/>
        </w:rPr>
        <w:t xml:space="preserve">Sortengruppe 10    Metallbearbeitungsöle</w:t>
      </w:r>
    </w:p>
    <w:p>
      <w:r>
        <w:rPr>
          <w:rFonts w:ascii="Courier New" w:hAnsi="Courier New"/>
          <w:sz w:val="17"/>
        </w:rPr>
        <w:t xml:space="preserve">Sortengruppe 11    Schmierfette.</w:t>
      </w:r>
    </w:p>
    <w:p>
      <w:r>
        <w:t xml:space="preserve">(4) PCB im Sinne dieser Verordnung sind die in § 1 Absatz 2 Nummer 1 der PCB/PCT-Abfallverordnung bezeichneten Stoffe.</w:t>
      </w:r>
    </w:p>
    <w:p>
      <w:r>
        <w:rPr>
          <w:color w:val="555555"/>
          <w:sz w:val="17"/>
        </w:rPr>
        <w:t xml:space="preserve">Zitiervorschlag: § 1a AltölV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https://recht.nulegal.eu/gesetze/Alt%C3%B6lV/1a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