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AltölV</w:t>
      </w:r>
    </w:p>
    <w:p>
      <w:r>
        <w:rPr>
          <w:color w:val="555555"/>
          <w:sz w:val="18"/>
        </w:rPr>
        <w:t xml:space="preserve">Altölverordnung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(Inkrafttreten)</w:t>
      </w:r>
    </w:p>
    <w:p>
      <w:r>
        <w:rPr>
          <w:color w:val="555555"/>
          <w:sz w:val="17"/>
        </w:rPr>
        <w:t xml:space="preserve">Zitiervorschlag: § 14 AltölV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https://recht.nulegal.eu/gesetze/Alt%C3%B6lV/14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