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AltölV — Ordnungswidrigkeiten</w:t>
      </w:r>
    </w:p>
    <w:p>
      <w:r>
        <w:rPr>
          <w:color w:val="555555"/>
          <w:sz w:val="18"/>
        </w:rPr>
        <w:t xml:space="preserve">Altölverordnung</w:t>
      </w:r>
    </w:p>
    <w:p>
      <w:r>
        <w:rPr>
          <w:color w:val="555555"/>
          <w:sz w:val="18"/>
        </w:rPr>
        <w:t xml:space="preserve">Stand: 15.10.2020 (konsolidierte Textfassung, kein amtliches Inkrafttretensdatum)</w:t>
      </w:r>
    </w:p>
    <w:p>
      <w:r>
        <w:t xml:space="preserve">(1) Ordnungswidrig im Sinne des § 69 Absatz 1 Nummer 8 des Kreislaufwirtschaftsgesetzes handelt, wer vorsätzlich oder fahrlässig</w:t>
      </w:r>
    </w:p>
    <w:p>
      <w:pPr>
        <w:ind w:left="420"/>
      </w:pPr>
      <w:r>
        <w:t xml:space="preserve">1. entgegen § 3 Satz 1 Altöle stofflich verwertet,</w:t>
      </w:r>
    </w:p>
    <w:p>
      <w:pPr>
        <w:ind w:left="420"/>
      </w:pPr>
      <w:r>
        <w:t xml:space="preserve">2. entgegen § 4 Absatz 1 Altöle mit anderen Abfällen vermischt,</w:t>
      </w:r>
    </w:p>
    <w:p>
      <w:pPr>
        <w:ind w:left="420"/>
      </w:pPr>
      <w:r>
        <w:t xml:space="preserve">3. entgegen § 4 Absatz 2 Satz 1 dort genannte Öle nicht getrennt sammelt, nicht getrennt befördert oder nicht getrennt einer Entsorgung zuführt,</w:t>
      </w:r>
    </w:p>
    <w:p>
      <w:pPr>
        <w:ind w:left="420"/>
      </w:pPr>
      <w:r>
        <w:t xml:space="preserve">4. entgegen § 4 Absatz 3 Altöle untereinander mischt,</w:t>
      </w:r>
    </w:p>
    <w:p>
      <w:pPr>
        <w:ind w:left="420"/>
      </w:pPr>
      <w:r>
        <w:t xml:space="preserve">5. entgegen § 4 Absatz 6 Satz 1 Altöle nicht getrennt sammelt oder</w:t>
      </w:r>
    </w:p>
    <w:p>
      <w:pPr>
        <w:ind w:left="420"/>
      </w:pPr>
      <w:r>
        <w:t xml:space="preserve">6. entgegen § 8 Absatz 1 eine Annahmestelle nicht oder nicht rechtzeitig einrichtet und nicht, nicht richtig oder nicht rechtzeitig nachweist oder einen Hinweis nicht, nicht richtig oder nicht in der vorgeschriebenen Weise gibt.</w:t>
      </w:r>
    </w:p>
    <w:p>
      <w:r>
        <w:t xml:space="preserve">(2) Ordnungswidrig im Sinne des § 69 Absatz 2 Nummer 15 des Kreislaufwirtschaftsgesetzes handelt, wer vorsätzlich oder fahrlässig</w:t>
      </w:r>
    </w:p>
    <w:p>
      <w:pPr>
        <w:ind w:left="420"/>
      </w:pPr>
      <w:r>
        <w:t xml:space="preserve">1. entgegen § 5 Absatz 4 die zuständige Behörde nicht oder nicht rechtzeitig unterrichtet oder die Rückstellprobe nicht oder nicht rechtzeitig überlässt oder</w:t>
      </w:r>
    </w:p>
    <w:p>
      <w:pPr>
        <w:ind w:left="420"/>
      </w:pPr>
      <w:r>
        <w:t xml:space="preserve">2. entgegen § 7 Verbrennungsmotorenöle oder Getriebeöle in Gebinden in den Verkehr bringt.</w:t>
      </w:r>
    </w:p>
    <w:p>
      <w:r>
        <w:rPr>
          <w:color w:val="555555"/>
          <w:sz w:val="17"/>
        </w:rPr>
        <w:t xml:space="preserve">Zitiervorschlag: § 10 AltölV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https://recht.nulegal.eu/gesetze/Alt%C3%B6lV/10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