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AltölV — Anwendungsbereich</w:t>
      </w:r>
    </w:p>
    <w:p>
      <w:r>
        <w:rPr>
          <w:color w:val="555555"/>
          <w:sz w:val="18"/>
        </w:rPr>
        <w:t xml:space="preserve">Altölverordnung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Diese Verordnung gilt für</w:t>
      </w:r>
    </w:p>
    <w:p>
      <w:pPr>
        <w:ind w:left="420"/>
      </w:pPr>
      <w:r>
        <w:t xml:space="preserve">1. die stoffliche Verwertung,</w:t>
      </w:r>
    </w:p>
    <w:p>
      <w:pPr>
        <w:ind w:left="420"/>
      </w:pPr>
      <w:r>
        <w:t xml:space="preserve">2. die energetische Verwertung und</w:t>
      </w:r>
    </w:p>
    <w:p>
      <w:pPr>
        <w:ind w:left="420"/>
      </w:pPr>
      <w:r>
        <w:t xml:space="preserve">3. die Beseitigung</w:t>
      </w:r>
    </w:p>
    <w:p>
      <w:r>
        <w:t xml:space="preserve">von Altöl.</w:t>
      </w:r>
    </w:p>
    <w:p>
      <w:r>
        <w:t xml:space="preserve">(2) Diese Verordnung gilt für</w:t>
      </w:r>
    </w:p>
    <w:p>
      <w:pPr>
        <w:ind w:left="420"/>
      </w:pPr>
      <w:r>
        <w:t xml:space="preserve">1. Erzeuger, Besitzer, Sammler und Beförderer von Altöl,</w:t>
      </w:r>
    </w:p>
    <w:p>
      <w:pPr>
        <w:ind w:left="420"/>
      </w:pPr>
      <w:r>
        <w:t xml:space="preserve">2. Betreiber von Altölentsorgungsanlagen und</w:t>
      </w:r>
    </w:p>
    <w:p>
      <w:pPr>
        <w:ind w:left="420"/>
      </w:pPr>
      <w:r>
        <w:t xml:space="preserve">3. öffentlich-rechtliche Entsorgungsträger.</w:t>
      </w:r>
    </w:p>
    <w:p>
      <w:r>
        <w:t xml:space="preserve">(3) Diese Verordnung gilt nicht für PCB/PCT-haltiges Altöl, das zugleich PCB nach § 1 Absatz 2 Nummer 2 der PCB/PCT-Abfallverordnung ist und nach den Vorschriften dieser Verordnung zu beseitigen ist.</w:t>
      </w:r>
    </w:p>
    <w:p>
      <w:r>
        <w:rPr>
          <w:color w:val="555555"/>
          <w:sz w:val="17"/>
        </w:rPr>
        <w:t xml:space="preserve">Zitiervorschlag: § 1 AltölV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https://recht.nulegal.eu/gesetze/Alt%C3%B6lV/1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