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Almgesetz (Bayern)</w:t>
      </w:r>
    </w:p>
    <w:p>
      <w:r>
        <w:rPr>
          <w:color w:val="555555"/>
          <w:sz w:val="18"/>
        </w:rPr>
        <w:t xml:space="preserve">Gesetz über den Schutz der Almen und die Förderung der Almwirtschaft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zuständige Behörde kann für gemeinschaftliche Almgrundstücke und gemeinschaftliche Almrechte anordnen, daß die Beteiligten binnen einer von der Behörde zu bestimmenden Frist eine Verwaltungs- und Nutzungsordnung aufstellen. Diese bedarf der Genehmigung der zuständigen Behörde.</w:t>
      </w:r>
    </w:p>
    <w:p>
      <w:r>
        <w:t xml:space="preserve">(2) Die zuständige Behörde kann das Stimmenverhältnis der Beteiligten regeln.</w:t>
      </w:r>
    </w:p>
    <w:p>
      <w:r>
        <w:t xml:space="preserve">(3) Kommt eine Verwaltungs- und Nutzungsordnung innerhalb der festgesetzten Frist nicht zustande, so kann die zuständige Behörde diese Ordnung treffen.</w:t>
      </w:r>
    </w:p>
    <w:p>
      <w:r>
        <w:t xml:space="preserve">(4) Die zuständige Behörde überwacht die Einhaltung der Verwaltungs- und Nutzungsordnung und der von ihr getroffenen Anordnungen.</w:t>
      </w:r>
    </w:p>
    <w:p>
      <w:r>
        <w:rPr>
          <w:color w:val="555555"/>
          <w:sz w:val="17"/>
        </w:rPr>
        <w:t xml:space="preserve">Zitiervorschlag: Art 4 Almgesetz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https://recht.nulegal.eu/gesetze/Almgesetz/4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