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22 Almgesetz (Bayern)</w:t>
      </w:r>
    </w:p>
    <w:p>
      <w:r>
        <w:rPr>
          <w:color w:val="555555"/>
          <w:sz w:val="18"/>
        </w:rPr>
        <w:t xml:space="preserve">Gesetz über den Schutz der Almen und die Förderung der Almwirtschaft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Das Gesetz tritt am 1. April 1932 in Kraft.</w:t>
      </w:r>
    </w:p>
    <w:p>
      <w:r>
        <w:t xml:space="preserve">(2) Die beteiligten Staatsministerien erlassen die Vorschriften zur Ausführung des Gesetzes.</w:t>
      </w:r>
    </w:p>
    <w:p>
      <w:r>
        <w:t xml:space="preserve">[Amtl. Anm.:] Betrifft die ursprüngliche Fassung vom 28. April 1932 (Nr. 20 des Gesetz- und Verordnungsblattes vom 29. April 1932, S. 237)</w:t>
      </w:r>
    </w:p>
    <w:p>
      <w:r>
        <w:rPr>
          <w:color w:val="555555"/>
          <w:sz w:val="17"/>
        </w:rPr>
        <w:t xml:space="preserve">Zitiervorschlag: Art 22 Almgesetz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https://recht.nulegal.eu/gesetze/Almgesetz/22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