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AlkopopStV</w:t>
      </w:r>
    </w:p>
    <w:p>
      <w:r>
        <w:rPr>
          <w:color w:val="555555"/>
          <w:sz w:val="18"/>
        </w:rPr>
        <w:t xml:space="preserve">Alkopopsteuerverordnung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Satz 3 des Alkopopsteuergesetzes vom 23. Juli 2004 (BGBl. I S. 1857) verordnet die Bundesregierung:</w:t>
      </w:r>
    </w:p>
    <w:p>
      <w:r>
        <w:rPr>
          <w:color w:val="555555"/>
          <w:sz w:val="17"/>
        </w:rPr>
        <w:t xml:space="preserve">Zitiervorschlag: Eingangsformel AlkopopStV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https://recht.nulegal.eu/gesetze/AlkopopStV/eingangsformel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