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AlkopopStV — Inkrafttreten</w:t>
      </w:r>
    </w:p>
    <w:p>
      <w:r>
        <w:rPr>
          <w:color w:val="555555"/>
          <w:sz w:val="18"/>
        </w:rPr>
        <w:t xml:space="preserve">Alkopopsteuerverordnung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3 AlkopopStV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https://recht.nulegal.eu/gesetze/AlkopopStV/3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