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AlkopopStV — Verrechnung der Differenz zwischen Soll- und Ist-Netto-Mehraufkommen sowie zwischen Soll- und Ist-Ausgaben für Suchtpräventionsmaßnahmen</w:t>
      </w:r>
    </w:p>
    <w:p>
      <w:r>
        <w:rPr>
          <w:color w:val="555555"/>
          <w:sz w:val="18"/>
        </w:rPr>
        <w:t xml:space="preserve">Alkopopsteuerverordnung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Aufstellung des Haushaltsplans wird der Sollansatz für das Netto-Mehraufkommen der Alkopopsteuer entsprechend dem Berechnungsverfahren nach § 1 auf der Grundlage der voraussichtlichen Verbrauchsmenge von Alkopops und unter Berücksichtigung von Absatz 2 veranschlagt.</w:t>
      </w:r>
    </w:p>
    <w:p>
      <w:r>
        <w:t xml:space="preserve">(2) Die Differenz zwischen dem Sollansatz eines Haushaltsjahres und dem für dieses Haushaltsjahr nach § 1 ermittelten Ist-Netto-Mehraufkommen sowie die Differenz zwischen dem Sollansatz eines Haushaltsjahres und den tatsächlichen Ausgaben der Bundeszentrale für gesundheitliche Aufklärung für Maßnahmen der Suchtprävention (§ 4 Satz 1 des Alkopopsteuergesetzes) werden jeweils mit dem Sollansatz für das übernächste Haushaltsjahr verrechnet.</w:t>
      </w:r>
    </w:p>
    <w:p>
      <w:r>
        <w:rPr>
          <w:color w:val="555555"/>
          <w:sz w:val="17"/>
        </w:rPr>
        <w:t xml:space="preserve">Zitiervorschlag: § 2 AlkopopStV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https://recht.nulegal.eu/gesetze/AlkopopStV/2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