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AlkopopStG — Aufkommensverwendung, Aufkommensverteilung</w:t>
      </w:r>
    </w:p>
    <w:p>
      <w:r>
        <w:rPr>
          <w:color w:val="555555"/>
          <w:sz w:val="18"/>
        </w:rPr>
        <w:t xml:space="preserve">Alkopopsteuergesetz</w:t>
      </w:r>
    </w:p>
    <w:p>
      <w:r>
        <w:rPr>
          <w:color w:val="555555"/>
          <w:sz w:val="18"/>
        </w:rPr>
        <w:t xml:space="preserve">Stand: 10.06.2019 (konsolidierte Textfassung, kein amtliches Inkrafttretensdatum)</w:t>
      </w:r>
    </w:p>
    <w:p>
      <w:r>
        <w:t xml:space="preserve">Das Netto-Mehraufkommen aus der Alkopopsteuer ist zur Finanzierung von Maßnahmen zur Suchtprävention der Bundeszentrale für gesundheitliche Aufklärung zu verwenden. Das Netto-Mehraufkommen der Alkopopsteuer ergibt sich aus der Differenz zwischen dem Aufkommen der Alkopopsteuer und den Mindereinnahmen bei der Alkoholsteuer, die sich durch die Einführung der Alkopopsteuer ergeben. Die Bundesregierung wird ermächtigt, das Verfahren zur Berechnung des Netto-Mehraufkommens durch Rechtsverordnung zu regeln.</w:t>
      </w:r>
    </w:p>
    <w:p>
      <w:r>
        <w:rPr>
          <w:color w:val="555555"/>
          <w:sz w:val="17"/>
        </w:rPr>
        <w:t xml:space="preserve">Zitiervorschlag: § 4 AlkopopStG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https://recht.nulegal.eu/gesetze/AlkopopStG/4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