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AlkopopStG — Besteuerung, Steuerverfahren</w:t>
      </w:r>
    </w:p>
    <w:p>
      <w:r>
        <w:rPr>
          <w:color w:val="555555"/>
          <w:sz w:val="18"/>
        </w:rPr>
        <w:t xml:space="preserve">Alkopopsteuergesetz</w:t>
      </w:r>
    </w:p>
    <w:p>
      <w:r>
        <w:rPr>
          <w:color w:val="555555"/>
          <w:sz w:val="18"/>
        </w:rPr>
        <w:t xml:space="preserve">Stand: 10.06.2019 (konsolidierte Textfassung, kein amtliches Inkrafttretensdatum)</w:t>
      </w:r>
    </w:p>
    <w:p>
      <w:r>
        <w:t xml:space="preserve">(1) Für die Herstellung, Bearbeitung oder Verarbeitung, die Lagerung und die Beförderung von Alkopops unter Steueraussetzung, für die Entstehung der Alkopopsteuer und den Zeitpunkt, der für ihre Bemessung maßgebend ist, für die Person des Steuerschuldners, für die Fälligkeit, das Erlöschen, die Nacherhebung, die Steuerbefreiungen und die Steuerentlastungen sowie das Steuerverfahren gelten vorbehaltlich des Absatzes 2 die Vorschriften für die Alkoholsteuer nach dem Alkoholsteuergesetz sowie den dazu ergangenen Durchführungsbestimmungen sinngemäß.</w:t>
      </w:r>
    </w:p>
    <w:p>
      <w:r>
        <w:t xml:space="preserve">(2) Für den innergemeinschaftlichen Verkehr mit Alkopops sowie für die Ausfuhr von Alkopops aus dem Steuergebiet über andere Mitgliedstaaten gelten die diesbezüglichen Vorschriften für die Kaffeesteuer nach dem Kaffeesteuergesetz sowie den dazu ergangenen Durchführungsbestimmungen sinngemäß. Satz 1 gilt auch für Beförderungen unter Steueraussetzung im Steuergebiet, soweit sich der in den Alkopops befindliche Alkohol im steuerrechtlich freien Verkehr befindet.</w:t>
      </w:r>
    </w:p>
    <w:p>
      <w:r>
        <w:rPr>
          <w:color w:val="555555"/>
          <w:sz w:val="17"/>
        </w:rPr>
        <w:t xml:space="preserve">Zitiervorschlag: § 3 AlkopopStG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https://recht.nulegal.eu/gesetze/AlkopopStG/3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