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AlkoVerfrG</w:t>
      </w:r>
    </w:p>
    <w:p>
      <w:r>
        <w:rPr>
          <w:color w:val="555555"/>
          <w:sz w:val="18"/>
        </w:rPr>
        <w:t xml:space="preserve">Gesetz über die Verfrachtung alkoholischer Waren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Ordnungswidrig handelt, wer als Kapitän oder Stellvertreter des Kapitäns</w:t>
      </w:r>
    </w:p>
    <w:p>
      <w:pPr>
        <w:ind w:left="420"/>
      </w:pPr>
      <w:r>
        <w:t xml:space="preserve">1. entgegen § 2 alkoholische Waren befördert, ausführt oder sonst aus dem Geltungsbereich dieses Gesetzes verbringt oder</w:t>
      </w:r>
    </w:p>
    <w:p>
      <w:pPr>
        <w:ind w:left="420"/>
      </w:pPr>
      <w:r>
        <w:t xml:space="preserve">2. entgegen § 3 ohne schriftliche Genehmigung der zuständigen Behörde oder entgegen § 5 Nr. 2 ohne schriftliche Erklärung einer dort bezeichneten Person alkoholische Waren ausführt oder sonst aus dem Geltungsbereich dieses Gesetzes verbringt.</w:t>
      </w:r>
    </w:p>
    <w:p>
      <w:r>
        <w:t xml:space="preserve">(2) Die Ordnungswidrigkeit und der Versuch einer Ordnungswidrigkeit können in den Fällen des Absatzes 1 Nr. 1 mit einer Geldbuße bis zu 10.000 Deutsche Mark, in den Fällen des Absatzes 1 Nr. 2 mit einer Geldbuße bis zu 5.000 Deutsche Mark geahndet werden.</w:t>
      </w:r>
    </w:p>
    <w:p>
      <w:r>
        <w:t xml:space="preserve">(3) Alkoholische Waren, auf die sich die Ordnungswidrigkeit bezieht, können eingezogen werden. § 23 des Gesetzes über Ordnungswidrigkeiten ist anzuwenden.</w:t>
      </w:r>
    </w:p>
    <w:p>
      <w:r>
        <w:t xml:space="preserve">(4) In den Fällen des Absatzes 1 Nr. 1 kann die Tat auch dann geahndet werden, wenn sie nicht im Geltungsbereich dieses Gesetzes begangen wird.</w:t>
      </w:r>
    </w:p>
    <w:p>
      <w:r>
        <w:rPr>
          <w:color w:val="555555"/>
          <w:sz w:val="17"/>
        </w:rPr>
        <w:t xml:space="preserve">Zitiervorschlag: § 8 AlkoVerfrG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https://recht.nulegal.eu/gesetze/AlkoVerfrG/8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