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AlkoVerfrG</w:t>
      </w:r>
    </w:p>
    <w:p>
      <w:r>
        <w:rPr>
          <w:color w:val="555555"/>
          <w:sz w:val="18"/>
        </w:rPr>
        <w:t xml:space="preserve">Gesetz über die Verfrachtung alkoholischer Waren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Schiffen von weniger als 100 Registertonnen Nettoraumgehalt ist die Beförderung alkoholischer Waren, insbesondere die Ausfuhr oder das sonstige Verbringen aus dem Geltungsbereich dieses Gesetzes, verboten.</w:t>
      </w:r>
    </w:p>
    <w:p>
      <w:r>
        <w:t xml:space="preserve">(2) Diese Vorschrift gilt nicht für mechanisch angetriebene Schiffe in regelmäßiger Linienfahrt und für die Beförderung auf Binnengewässern.</w:t>
      </w:r>
    </w:p>
    <w:p>
      <w:r>
        <w:rPr>
          <w:color w:val="555555"/>
          <w:sz w:val="17"/>
        </w:rPr>
        <w:t xml:space="preserve">Zitiervorschlag: § 2 AlkoVerfrG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https://recht.nulegal.eu/gesetze/AlkoVerfrG/2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