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AlkoVerfrG</w:t>
      </w:r>
    </w:p>
    <w:p>
      <w:r>
        <w:rPr>
          <w:color w:val="555555"/>
          <w:sz w:val="18"/>
        </w:rPr>
        <w:t xml:space="preserve">Gesetz über die Verfrachtung alkoholischer 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30 Tage nach der Hinterlegung der deutschen Ratifikationsurkunde des in § 3 genannten Abkommens in Kraft.</w:t>
      </w:r>
    </w:p>
    <w:p>
      <w:r>
        <w:rPr>
          <w:color w:val="555555"/>
          <w:sz w:val="17"/>
        </w:rPr>
        <w:t xml:space="preserve">Zitiervorschlag: § 10 AlkoVerfrG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https://recht.nulegal.eu/gesetze/AlkoVerfrG/10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