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AlkStV — Änderung von Verhältnissen</w:t>
      </w:r>
    </w:p>
    <w:p>
      <w:r>
        <w:rPr>
          <w:color w:val="555555"/>
          <w:sz w:val="18"/>
        </w:rPr>
        <w:t xml:space="preserve">Alkoholsteuerverordnung</w:t>
      </w:r>
    </w:p>
    <w:p>
      <w:r>
        <w:rPr>
          <w:color w:val="555555"/>
          <w:sz w:val="18"/>
        </w:rPr>
        <w:t xml:space="preserve">Stand: 10.11.2022 (konsolidierte Textfassung, kein amtliches Inkrafttretensdatum)</w:t>
      </w:r>
    </w:p>
    <w:p>
      <w:r>
        <w:t xml:space="preserve">(1) Der Steuerlagerinhaber hat dem Hauptzollamt die Änderung der nach § 5 Absatz 1, 2 Satz 1 und Absatz 3 Satz 1 angegebenen Verhältnisse vor der Änderung schriftlich anzuzeigen. Zu den anzuzeigenden Änderungen gehören auch</w:t>
      </w:r>
    </w:p>
    <w:p>
      <w:pPr>
        <w:ind w:left="420"/>
      </w:pPr>
      <w:r>
        <w:t xml:space="preserve">1. eine Unternehmensumwandlung nach den Vorschriften des Umwandlungsgesetzes,</w:t>
      </w:r>
    </w:p>
    <w:p>
      <w:pPr>
        <w:ind w:left="420"/>
      </w:pPr>
      <w:r>
        <w:t xml:space="preserve">2. bei Personengesellschaften Änderungen der Personen der Gesellschafter oder der geschäftsführenden Personen,</w:t>
      </w:r>
    </w:p>
    <w:p>
      <w:pPr>
        <w:ind w:left="420"/>
      </w:pPr>
      <w:r>
        <w:t xml:space="preserve">3. die Verlegung des Hauptwohnsitzes sowie bei Unternehmen des Unternehmenssitzes oder des Ortes, von dem aus der Beteiligte sein Unternehmen betreibt, oder</w:t>
      </w:r>
    </w:p>
    <w:p>
      <w:pPr>
        <w:ind w:left="420"/>
      </w:pPr>
      <w:r>
        <w:t xml:space="preserve">4. die Auflösung des Unternehmens.</w:t>
      </w:r>
    </w:p>
    <w:p>
      <w:r>
        <w:t xml:space="preserve">Änderungen der räumlichen Ausdehnung des oder der Steuerlager oder der angeordneten Sicherungsmaßnahmen bedürfen der Zustimmung des Hauptzollamts.</w:t>
      </w:r>
    </w:p>
    <w:p>
      <w:r>
        <w:t xml:space="preserve">(2) Der Steuerlagerinhaber hat dem Hauptzollamt andere Veränderungen als die nach Absatz 1 unverzüglich nach ihrem Eintritt anzuzeigen. Hierzu gehören insbesondere</w:t>
      </w:r>
    </w:p>
    <w:p>
      <w:pPr>
        <w:ind w:left="420"/>
      </w:pPr>
      <w:r>
        <w:t xml:space="preserve">1. seine Überschuldung, drohende oder eingetretene Zahlungsunfähigkeit oder Zahlungseinstellung,</w:t>
      </w:r>
    </w:p>
    <w:p>
      <w:pPr>
        <w:ind w:left="420"/>
      </w:pPr>
      <w:r>
        <w:t xml:space="preserve">2. die Stellung des Antrags auf Eröffnung eines Insolvenzverfahrens,</w:t>
      </w:r>
    </w:p>
    <w:p>
      <w:pPr>
        <w:ind w:left="420"/>
      </w:pPr>
      <w:r>
        <w:t xml:space="preserve">3. die Anordnung vorläufiger Maßnahmen nach § 21 der Insolvenzordnung unter Beifügung des gerichtlichen Beschlusses und</w:t>
      </w:r>
    </w:p>
    <w:p>
      <w:pPr>
        <w:ind w:left="420"/>
      </w:pPr>
      <w:r>
        <w:t xml:space="preserve">4. jede Änderung, die zur Eintragung ins Handels-, Genossenschafts-, Vereins- oder Partnerschaftsregister anzumelden ist.</w:t>
      </w:r>
    </w:p>
    <w:p>
      <w:r>
        <w:t xml:space="preserve">(3) Bevor Teile der Betriebseinrichtung einer Verschlussbrennerei zu anderen Zwecken als der Alkoholgewinnung verwendet werden, ist dies dem Hauptzollamt vor Beginn der neuen Verwendung schriftlich anzuzeigen. Das Hauptzollamt kann hierzu Anordnungen treffen.</w:t>
      </w:r>
    </w:p>
    <w:p>
      <w:r>
        <w:t xml:space="preserve">(4) Bevor der Betrieb eines Steuerlagers eingestellt wird oder mehr als sechs Wochen ruht, hat der Steuerlagerinhaber dies dem Hauptzollamt schriftlich anzuzeigen. Die Wiederaufnahme des Betriebs hat der Steuerlagerinhaber spätestens eine Woche vorher schriftlich anzuzeigen. Das Hauptzollamt kann im Einzelfall zu den Anzeigepflichten Anordnungen treffen oder Ausnahmen zulassen. Wird der Betrieb eines Steuerlagers eingestellt, widerruft das Hauptzollamt die Erlaubnis nach § 6. Sofern die Erlaubnis mehrere Steuerlager umfasst, wird sie geändert.</w:t>
      </w:r>
    </w:p>
    <w:p>
      <w:r>
        <w:t xml:space="preserve">(5) In den Fällen des § 9 Absatz 1 Nummer 2, 4, 6 und 7 ist dem Hauptzollamt durch folgende Personen unverzüglich Folgendes schriftlich anzuzeigen:</w:t>
      </w:r>
    </w:p>
    <w:p>
      <w:pPr>
        <w:ind w:left="420"/>
      </w:pPr>
      <w:r>
        <w:t xml:space="preserve">1. der Tod des Erlaubnisinhabers: von den Erben des Erlaubnisinhabers, dem Testamentsvollstrecker oder dem Nachlasspfleger,</w:t>
      </w:r>
    </w:p>
    <w:p>
      <w:pPr>
        <w:ind w:left="420"/>
      </w:pPr>
      <w:r>
        <w:t xml:space="preserve">2. die Übernahme des Unternehmens: vom neuen Inhaber oder</w:t>
      </w:r>
    </w:p>
    <w:p>
      <w:pPr>
        <w:ind w:left="420"/>
      </w:pPr>
      <w:r>
        <w:t xml:space="preserve">3. die Eröffnung des Insolvenzverfahrens oder die Abweisung der Eröffnung des Insolvenzverfahrens: vom Insolvenzverwalter oder, im Falle der angeordneten Eigenverwaltung, vom Erlaubnisinhaber; der gerichtliche Beschluss ist beizufügen.</w:t>
      </w:r>
    </w:p>
    <w:p>
      <w:r>
        <w:rPr>
          <w:color w:val="555555"/>
          <w:sz w:val="17"/>
        </w:rPr>
        <w:t xml:space="preserve">Zitiervorschlag: § 8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