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AlkStV — Sicherheitsleistung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Das Hauptzollamt legt die Höhe der Sicherheitsleistung unter Berücksichtigung des § 5 Absatz 1 Satz 4 und 5 des Gesetzes fest. Es überprüft regelmäßig die Höhe der Sicherheitsleistung und passt diese gegebenenfalls an.</w:t>
      </w:r>
    </w:p>
    <w:p>
      <w:r>
        <w:t xml:space="preserve">(2) Sind Steuerbelange gefährdet, kann das Hauptzollamt eine Sicherheitsleistung bis zur Höhe des Steuerwerts des tatsächlichen Bestands im Steuerlager sowie bis zur Höhe der entstandenen, aber noch nicht entrichteten Steuer verlangen; § 221 der Abgabenordnung bleibt unberührt.</w:t>
      </w:r>
    </w:p>
    <w:p>
      <w:r>
        <w:rPr>
          <w:color w:val="555555"/>
          <w:sz w:val="17"/>
        </w:rPr>
        <w:t xml:space="preserve">Zitiervorschlag: § 7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