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AlkStV — Gewerbliche Nutzung von Brenngeräten</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Wer ein Brenngerät oder ein sonstiges zur Herstellung oder Reinigung von Alkohol geeignetes Gerät mit einem Raumgehalt von mehr als 2 Litern abgibt, hat dies dem Hauptzollamt anzuzeigen. Die schriftliche Anzeige hat spätestens bei der Abgabe der in Satz 1 genannten Geräte zu erfolgen. Die Anzeige hat den Namen und die Anschrift des Empfängers sowie die Art und den Raumgehalt des Gerätes zu enthalten.</w:t>
      </w:r>
    </w:p>
    <w:p>
      <w:r>
        <w:t xml:space="preserve">(2) Wer ein Brenngerät oder ein sonstiges zur Herstellung oder Reinigung von Alkohol geeignetes Gerät mit einem Raumgehalt von mehr als 2 Litern erwirbt, hat dies dem Hauptzollamt anzuzeigen. Die schriftliche Anzeige hat innerhalb von drei Werktagen nach Empfang der Geräte zu erfolgen. Die Anzeige hat zu enthalten:</w:t>
      </w:r>
    </w:p>
    <w:p>
      <w:pPr>
        <w:ind w:left="420"/>
      </w:pPr>
      <w:r>
        <w:t xml:space="preserve">1. den Namen und die Anschrift des Abgebenden,</w:t>
      </w:r>
    </w:p>
    <w:p>
      <w:pPr>
        <w:ind w:left="420"/>
      </w:pPr>
      <w:r>
        <w:t xml:space="preserve">2. die Art und den Raumgehalt des Gerätes und</w:t>
      </w:r>
    </w:p>
    <w:p>
      <w:pPr>
        <w:ind w:left="420"/>
      </w:pPr>
      <w:r>
        <w:t xml:space="preserve">3. den Aufstellungsort und Zweck, dem das Gerät dienen soll.</w:t>
      </w:r>
    </w:p>
    <w:p>
      <w:r>
        <w:t xml:space="preserve">Wird das Gerät an einem anderen Ort aufgestellt, so ist dies spätestens drei Werktage nach dem Ortswechsel dem Hauptzollamt anzuzeigen.</w:t>
      </w:r>
    </w:p>
    <w:p>
      <w:r>
        <w:t xml:space="preserve">(3) Soll ein Brenngerät außerhalb einer Abfindungs- oder Verschlussbrennerei zu Zwecken der Alkoholbe- und -verarbeitung verwendet werden, so ist dies dem Hauptzollamt spätestens drei Werktage vor dem beabsichtigten Betriebsbeginn anzuzeigen. Das Hauptzollamt kann die angemeldete Betriebszeit auf die zur Durchführung des Brandes angemessene und erforderliche Zeit beschränken.</w:t>
      </w:r>
    </w:p>
    <w:p>
      <w:r>
        <w:t xml:space="preserve">(4) Das Hauptzollamt kann für den Gebrauch der Geräte oder einzelner Geräte besondere Aufsichtsmaßnahmen anordnen, insbesondere Anzeigen und Anschreibungen über Art und Zeit der Benutzung verlangen. Es kann auch Vorkehrungen dagegen treffen, dass die Geräte außerhalb der angezeigten Zeit benutzt werden können. Das Hauptzollamt kann auf Antrag Erleichterungen oder Ausnahmen von den Anzeigepflichten der Absätze 1 und 2 zulassen, wenn eine missbräuchliche Verwendung nicht zu befürchten ist.</w:t>
      </w:r>
    </w:p>
    <w:p>
      <w:r>
        <w:rPr>
          <w:color w:val="555555"/>
          <w:sz w:val="17"/>
        </w:rPr>
        <w:t xml:space="preserve">Zitiervorschlag: § 68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