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AlkStV — Probenentnahme im Rahmen der Steueraufsicht</w:t>
      </w:r>
    </w:p>
    <w:p>
      <w:r>
        <w:rPr>
          <w:color w:val="555555"/>
          <w:sz w:val="18"/>
        </w:rPr>
        <w:t xml:space="preserve">Alkoholsteuerverordnung</w:t>
      </w:r>
    </w:p>
    <w:p>
      <w:r>
        <w:rPr>
          <w:color w:val="555555"/>
          <w:sz w:val="18"/>
        </w:rPr>
        <w:t xml:space="preserve">Stand: 08.09.2021 (konsolidierte Textfassung, kein amtliches Inkrafttretensdatum)</w:t>
      </w:r>
    </w:p>
    <w:p>
      <w:r>
        <w:t xml:space="preserve">Das Hauptzollamt kann von folgenden Waren, die der Alkoholsteuer unterliegen oder unterliegen können, zu Untersuchungszwecken unentgeltlich Proben entnehmen oder verlangen:</w:t>
      </w:r>
    </w:p>
    <w:p>
      <w:pPr>
        <w:ind w:left="420"/>
      </w:pPr>
      <w:r>
        <w:t xml:space="preserve">1. von Roh- und Ausgangsstoffen,</w:t>
      </w:r>
    </w:p>
    <w:p>
      <w:pPr>
        <w:ind w:left="420"/>
      </w:pPr>
      <w:r>
        <w:t xml:space="preserve">2. von Halb- und Fertigerzeugnissen,</w:t>
      </w:r>
    </w:p>
    <w:p>
      <w:pPr>
        <w:ind w:left="420"/>
      </w:pPr>
      <w:r>
        <w:t xml:space="preserve">3. von Vergällungsmitteln, die zur oder bei der Herstellung solcher Waren verwendet werden, und</w:t>
      </w:r>
    </w:p>
    <w:p>
      <w:pPr>
        <w:ind w:left="420"/>
      </w:pPr>
      <w:r>
        <w:t xml:space="preserve">4. von den Umschließungen dieser Waren.</w:t>
      </w:r>
    </w:p>
    <w:p>
      <w:r>
        <w:t xml:space="preserve">Auf Verlangen des von der Probenentnahme Betroffenen ist eine Entnahmebestätigung auszustellen.</w:t>
      </w:r>
    </w:p>
    <w:p>
      <w:r>
        <w:rPr>
          <w:color w:val="555555"/>
          <w:sz w:val="17"/>
        </w:rPr>
        <w:t xml:space="preserve">Zitiervorschlag: § 67 AlkStV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https://recht.nulegal.eu/gesetze/AlkStV/67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