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AlkStV — Antrag auf Erlaubnis zur steuerfreien Verwendung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Wer in anderen als den in § 57 genannten Fällen Alkoholerzeugnisse steuerfrei verwenden will, hat die Erlaubnis vor Beginn der Verwendung nach amtlich vorgeschriebenem Vordruck beim Hauptzollamt zu beantragen. Dem Antrag sind in doppelter Ausfertigung beizufügen:</w:t>
      </w:r>
    </w:p>
    <w:p>
      <w:pPr>
        <w:ind w:left="420"/>
      </w:pPr>
      <w:r>
        <w:t xml:space="preserve">1. ein Plan des Betriebs, in dem die beantragten Lager- und Verwendungsorte der Alkoholerzeugnisse eingezeichnet sind, mit Angabe der Anschriften, und</w:t>
      </w:r>
    </w:p>
    <w:p>
      <w:pPr>
        <w:ind w:left="420"/>
      </w:pPr>
      <w:r>
        <w:t xml:space="preserve">2. eine Betriebserklärung über den genauen Zweck und die Art und Weise der Verwendung der Alkoholerzeugnisse.</w:t>
      </w:r>
    </w:p>
    <w:p>
      <w:r>
        <w:t xml:space="preserve">Arzneimittelhersteller haben außerdem ihre arzneimittelrechtliche Herstellungsberechtigung nachzuweisen. Die Erlaubnis zur steuerfreien Verwendung kann im Rahmen einer Erlaubnis als Steuerlagerinhaber erteilt werden, wenn mit dem Antrag die Unterlagen nach Satz 2 Nummer 1 und 2 vorgelegt werden.</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(3) Als Lebensmittelaromen im Sinne des § 27 Absatz 1 Nummer 5 des Gesetzes gelten auch</w:t>
      </w:r>
    </w:p>
    <w:p>
      <w:pPr>
        <w:ind w:left="420"/>
      </w:pPr>
      <w:r>
        <w:t xml:space="preserve">1. zum Verzehr nicht geeignete Zubereitungen und Grundstoffe und</w:t>
      </w:r>
    </w:p>
    <w:p>
      <w:pPr>
        <w:ind w:left="420"/>
      </w:pPr>
      <w:r>
        <w:t xml:space="preserve">2. Alkohole zu Trinkzwecken, die in einem zugelassenen Verfahren unter amtlicher Aufsicht für Trinkzwecke unbrauchbar gemacht worden sind,</w:t>
      </w:r>
    </w:p>
    <w:p>
      <w:r>
        <w:t xml:space="preserve">die nachweislich dazu bestimmt sind, unter geringer Dosierung zur Herstellung und Aromatisierung nicht alkoholischer Getränke und anderer Lebensmittel gewerblich eingesetzt zu werden.</w:t>
      </w:r>
    </w:p>
    <w:p>
      <w:r>
        <w:rPr>
          <w:color w:val="555555"/>
          <w:sz w:val="17"/>
        </w:rPr>
        <w:t xml:space="preserve">Zitiervorschlag: § 58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