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AlkStV — Allgemeine Verwendungserlaubnis</w:t>
      </w:r>
    </w:p>
    <w:p>
      <w:r>
        <w:rPr>
          <w:color w:val="555555"/>
          <w:sz w:val="18"/>
        </w:rPr>
        <w:t xml:space="preserve">Alkoholsteuerverordnung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Die gewerbliche Verwendung von Alkoholerzeugnissen, die, bezogen auf 100 Liter reinen Alkohol, mit den in § 54 Absatz 1 Nummer 1 genannten Vergällungsmitteln vergällt wurden und die für die in § 27 Absatz 1 Nummer 3 und 4 des Gesetzes genannten Zwecke verwendet werden, ist unter Verzicht auf eine förmliche Einzelerlaubnis allgemein erlaubt, soweit die Alkoholerzeugnisse bereits vergällt bezogen werden. Die §§ 58 bis 61 gelten insoweit nicht.</w:t>
      </w:r>
    </w:p>
    <w:p>
      <w:r>
        <w:t xml:space="preserve">(2) Allgemein erlaubt ist die gewerbliche Verwendung von Rückständen der Alkoholrektifikation, die bezogen auf 100 Liter reinen Alkohol mindestens 4 Liter Fuselöl enthalten und die charakteristischen Geruchs- und Geschmacksstoffe von Rückständen der Alkoholrektifikation aufweisen, für die in § 27 Absatz 1 Nummer 4 des Gesetzes genannten Zwecke.</w:t>
      </w:r>
    </w:p>
    <w:p>
      <w:r>
        <w:rPr>
          <w:color w:val="555555"/>
          <w:sz w:val="17"/>
        </w:rPr>
        <w:t xml:space="preserve">Zitiervorschlag: § 57 AlkStV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https://recht.nulegal.eu/gesetze/AlkStV/57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