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AlkStV — Vollständig vergällter Alkohol</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Alkohol ist vollständig vergällt, wenn er vergällt wurde nach den Vorschriften der Verordnung (EG) Nr. 3199/93 der Kommission vom 22. November 1993 über die gegenseitige Anerkennung der Verfahren zur vollständigen Denaturierung von Alkohol für Zwecke der Verbrauchsteuerbefreiung (ABl. L 288 vom 23.11.1993, S. 12), die zuletzt durch die Verordnung (EU) Nr. 162/2013 (ABl. L 49 vom 22.2.2013, S. 5) geändert worden ist, in der jeweils geltenden Fassung.</w:t>
      </w:r>
    </w:p>
    <w:p>
      <w:r>
        <w:t xml:space="preserve">(2) Vollständig vergällter Alkohol tritt mit seiner Entnahme aus dem Steuerlager unter Steuerbefreiung in den steuerrechtlich freien Verkehr.</w:t>
      </w:r>
    </w:p>
    <w:p>
      <w:r>
        <w:t xml:space="preserve">(3) Wird vollständig vergällter Alkohol aus anderen oder in andere Mitgliedstaaten befördert, hat der Beförderer die zweite und die dritte Ausfertigung des vereinfachten elektronischen Begleitdokuments mitzuführen.</w:t>
      </w:r>
    </w:p>
    <w:p>
      <w:r>
        <w:t xml:space="preserve">(4) Das Bundesministerium der Finanzen kann zur Durchführung des Artikels 27 Absatz 5 der Richtlinie 92/83/EWG des Rates vom 19. Oktober 1992 zur Harmonisierung der Struktur der Verbrauchsteuern auf Alkohol und alkoholische Getränke (ABl. L 316 vom 31.10.1992, S. 21, L 19 vom 27.1.1995, S. 52), die zuletzt durch das Protokoll über die Bedingungen und Einzelheiten der Aufnahme der Republik Bulgarien und Rumäniens in die Europäische Union (ABl. L 157 vom 21.6.2005, S. 86) geändert worden ist, in der jeweils geltenden Fassung, durch Allgemeinverfügung eine Steuerbefreiung nach § 27 Absatz 2 Nummer 6 des Gesetzes versagen. Das Bundesministerium der Finanzen kann auch eine bereits gewährte Steuerbefreiung zurücknehmen, wenn das für die vollständige Vergällung von Alkohol verwendete Vergällungsmittel aus Gründen der Sicherung des Steueraufkommens oder des Gesundheitsschutzes ungeeignet ist. Die Allgemeinverfügung ist im Bundesanzeiger sowie im Internet auf der zentralen Informationsplattform www.zoll.de zu veröffentlichen.</w:t>
      </w:r>
    </w:p>
    <w:p>
      <w:r>
        <w:rPr>
          <w:color w:val="555555"/>
          <w:sz w:val="17"/>
        </w:rPr>
        <w:t xml:space="preserve">Zitiervorschlag: § 53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