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AlkStV — Vergällung von Alkohol</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Soll Alkohol vergällt werden, ist die Vergällung vorbehaltlich des Absatzes 3 Satz 1 vom Steuerlagerinhaber oder Verwender unter Angabe des Vergällungsmittels und der zu vergällenden Alkoholmenge beim Hauptzollamt zu beantragen. Das Hauptzollamt kann zusätzliche Angaben verlangen. Der Verwender hat den Antrag unverzüglich im Anschluss an die Aufnahme des Alkohols in den Betrieb zu stellen. Der Antragsteller hat die für die Vergällung notwendigen Geräte sowie das Vergällungsmittel bereitzuhalten.</w:t>
      </w:r>
    </w:p>
    <w:p>
      <w:r>
        <w:t xml:space="preserve">(2) Das Hauptzollamt kann auf Antrag des Steuerlagerinhabers diesem erlauben, bestimmte Vergällungen selbst durchzuführen.</w:t>
      </w:r>
    </w:p>
    <w:p>
      <w:r>
        <w:t xml:space="preserve">(3) Alkohol zur Herstellung von Essig nach § 27 Absatz 1 Nummer 2 des Gesetzes ist nach Aufnahme in den Betrieb von dem Essighersteller unverzüglich selbst zu vergällen mit 6,0 Kilogramm Essigsäure für 100 Liter reinen Alkohol, gerechnet als wasserfreie Säure. Das Hauptzollamt kann dazu Anordnungen treffen. Es kann die amtliche Vergällung nach Absatz 1 anordnen, wenn dies zur Sicherung des Steueraufkommens oder für die Steueraufsicht erforderlich ist.</w:t>
      </w:r>
    </w:p>
    <w:p>
      <w:r>
        <w:t xml:space="preserve">(4) Vergällter und unvergällter Alkohol sowie mit verschiedenen Vergällungsmitteln vergällter Alkohol ist jeweils getrennt voneinander zu lagern.</w:t>
      </w:r>
    </w:p>
    <w:p>
      <w:r>
        <w:rPr>
          <w:color w:val="555555"/>
          <w:sz w:val="17"/>
        </w:rPr>
        <w:t xml:space="preserve">Zitiervorschlag: § 52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