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AlkStV — Steueranmeldung; Kleinbetragsregelung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Die Steueranmeldung nach § 26b Absatz 1 bis 4 des Gesetzes ist nach amtlich vorgeschriebenem Vordruck abzugeben.</w:t>
      </w:r>
    </w:p>
    <w:p>
      <w:r>
        <w:t xml:space="preserve">(2) Für die Überprüfung der Steueranmeldung und die Kleinbetragsregelung gelten § 44 Absatz 2 und § 45 entsprechend.</w:t>
      </w:r>
    </w:p>
    <w:p>
      <w:r>
        <w:rPr>
          <w:color w:val="555555"/>
          <w:sz w:val="17"/>
        </w:rPr>
        <w:t xml:space="preserve">Zitiervorschlag: § 51a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