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48g AlkStV — Ersatznachweise für die Beendigung der Beförderung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Liegt bei einer Lieferung zu gewerblichen Zwecken in das Steuergebiet kein Nachweis nach § 48e Absatz 4 oder § 48f in Verbindung mit § 39 Absatz 1 vor, bestätigt das für den zertifizierten Empfänger zuständige Hauptzollamt durch einen Sichtvermerk die Beendigung der Beförderung, wenn durch einen Ersatznachweis hinreichend belegt ist, dass die Alkoholerzeugnisse den angegebenen Bestimmungsort erreicht haben.</w:t>
      </w:r>
    </w:p>
    <w:p>
      <w:r>
        <w:t xml:space="preserve">(2) Ein Sichtvermerk der zuständigen Behörde des Bestimmungsmitgliedstaats bei einer Beförderung aus dem Steuergebiet in einen anderen Mitgliedstaat gilt, sofern er vom Hauptzollamt akzeptiert wird, als hinreichender Ersatznachweis dafür, dass</w:t>
      </w:r>
    </w:p>
    <w:p>
      <w:pPr>
        <w:ind w:left="420"/>
      </w:pPr>
      <w:r>
        <w:t xml:space="preserve">1. der zertifizierte Empfänger die dort angefallene Verbrauchsteuer entrichtet hat,</w:t>
      </w:r>
    </w:p>
    <w:p>
      <w:pPr>
        <w:ind w:left="420"/>
      </w:pPr>
      <w:r>
        <w:t xml:space="preserve">2. der zertifizierte Empfänger die Alkoholerzeugnisse in ein Steuerlager aufgenommen hat oder</w:t>
      </w:r>
    </w:p>
    <w:p>
      <w:pPr>
        <w:ind w:left="420"/>
      </w:pPr>
      <w:r>
        <w:t xml:space="preserve">3. die Alkoholerzeugnisse von der Verbrauchsteuer befreit sind.</w:t>
      </w:r>
    </w:p>
    <w:p>
      <w:r>
        <w:rPr>
          <w:color w:val="555555"/>
          <w:sz w:val="17"/>
        </w:rPr>
        <w:t xml:space="preserve">Zitiervorschlag: § 48g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https://recht.nulegal.eu/gesetze/AlkStV/48g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