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48d AlkStV — Änderung des Bestimmungsorts bei Verwendung des vereinfachten elektronischen Verwaltungsdokuments</w:t>
      </w:r>
    </w:p>
    <w:p>
      <w:r>
        <w:rPr>
          <w:color w:val="555555"/>
          <w:sz w:val="18"/>
        </w:rPr>
        <w:t xml:space="preserve">Alkoholsteuerverordnung</w:t>
      </w:r>
    </w:p>
    <w:p>
      <w:r>
        <w:rPr>
          <w:color w:val="555555"/>
          <w:sz w:val="18"/>
        </w:rPr>
        <w:t xml:space="preserve">Stand: 13.02.2023 (konsolidierte Textfassung, kein amtliches Inkrafttretensdatum)</w:t>
      </w:r>
    </w:p>
    <w:p>
      <w:r>
        <w:t xml:space="preserve">(1) Während der Beförderung der Alkoholerzeugnisse kann der zertifizierte Versender den Bestimmungsort ändern und zwar</w:t>
      </w:r>
    </w:p>
    <w:p>
      <w:pPr>
        <w:ind w:left="420"/>
      </w:pPr>
      <w:r>
        <w:t xml:space="preserve">1. in einen Lieferort, der von demselben zertifizierten Empfänger in demselben Mitgliedstaat betrieben wird, oder</w:t>
      </w:r>
    </w:p>
    <w:p>
      <w:pPr>
        <w:ind w:left="420"/>
      </w:pPr>
      <w:r>
        <w:t xml:space="preserve">2. in den Abgangsort.</w:t>
      </w:r>
    </w:p>
    <w:p>
      <w:r>
        <w:t xml:space="preserve">Die Änderung in den Abgangsort ist auch möglich, wenn der zertifizierte Empfänger die Übernahme der Alkoholerzeugnisse ablehnt.</w:t>
      </w:r>
    </w:p>
    <w:p>
      <w:r>
        <w:t xml:space="preserve">(2) Für die Änderung des Bestimmungsorts oder des Empfängers von Alkoholerzeugnissen gilt § 32 Absatz 2, 3 und 6 entsprechend.</w:t>
      </w:r>
    </w:p>
    <w:p>
      <w:r>
        <w:rPr>
          <w:color w:val="555555"/>
          <w:sz w:val="17"/>
        </w:rPr>
        <w:t xml:space="preserve">Zitiervorschlag: § 48d AlkStV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https://recht.nulegal.eu/gesetze/AlkStV/48d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