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AlkStV — Unregelmäßigkeiten während der Beförderung unter Steueraussetzung</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Werden beim Empfänger im Steuergebiet Abweichungen festgestellt, entscheidet das Hauptzollamt über die steuerliche Behandlung von Fehlmengen. Es kann im Allgemeinen Fehlmengen bis zu 0,5 Prozent der Alkoholerzeugnisse als unwiederbringlich verloren gegangen ansehen, sofern es sich nicht um Alkoholerzeugnisse in Fertigpackungen handelt.</w:t>
      </w:r>
    </w:p>
    <w:p>
      <w:r>
        <w:t xml:space="preserve">(2) Geht der Rückschein in den Fällen des § 35 Absatz 3 Satz 3 oder Absatz 4 Satz 4 nicht binnen zwei Monaten beim Versender ein, ist dies vom Versender unverzüglich dem für ihn zuständigen Hauptzollamt anzuzeigen.</w:t>
      </w:r>
    </w:p>
    <w:p>
      <w:r>
        <w:t xml:space="preserve">(3) Sind die Alkoholerzeugnisse während der Beförderung infolge unvorhersehbarer Ereignisse oder höherer Gewalt vollständig zerstört worden oder vollständig oder teilweise unwiederbringlich verloren gegangen, hat der Beförderer dies dem Hauptzollamt unverzüglich anzuzeigen und nachzuweisen.</w:t>
      </w:r>
    </w:p>
    <w:p>
      <w:r>
        <w:t xml:space="preserve">(4) In den Fällen des § 18 Absatz 4 des Gesetzes gelten hinsichtlich der Nachweisführung die §§ 33 und 40 entsprechend. Die Frist nach § 18 Absatz 4 Satz 4 des Gesetzes beginnt mit der schriftlichen Bekanntgabe der Feststellung der Unregelmäßigkeit gegenüber dem Steuerschuldner.</w:t>
      </w:r>
    </w:p>
    <w:p>
      <w:r>
        <w:rPr>
          <w:color w:val="555555"/>
          <w:sz w:val="17"/>
        </w:rPr>
        <w:t xml:space="preserve">Zitiervorschlag: § 42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