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AlkStV — Ersatznachweise für die Beendigung der Beförderung</w:t>
      </w:r>
    </w:p>
    <w:p>
      <w:r>
        <w:rPr>
          <w:color w:val="555555"/>
          <w:sz w:val="18"/>
        </w:rPr>
        <w:t xml:space="preserve">Alkoholsteuerverordnung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Liegt kein Nachweis nach § 33 Absatz 6 vor, bestätigt das für den Empfänger zuständige Hauptzollamt oder das Hauptzollamt, in dessen Bezirk sich die Ausgangszollstelle befindet, in den Fällen, in denen keine Eingangs- oder Ausfuhrmeldung nach § 39 vorliegt, die Beendigung der Beförderung unter Steueraussetzung, wenn durch einen Ersatznachweis hinreichend belegt ist, dass die Alkoholerzeugnisse</w:t>
      </w:r>
    </w:p>
    <w:p>
      <w:pPr>
        <w:ind w:left="420"/>
      </w:pPr>
      <w:r>
        <w:t xml:space="preserve">1. den angegebenen Bestimmungsort erreicht haben oder</w:t>
      </w:r>
    </w:p>
    <w:p>
      <w:pPr>
        <w:ind w:left="420"/>
      </w:pPr>
      <w:r>
        <w:t xml:space="preserve">2. das Verbrauchsteuergebiet der Europäischen Union verlassen haben oder in das externe Versandverfahren nach Artikel 226 Absatz 2 des Unionszollkodex überführt wurden, sofern dies nach Artikel 189 Absatz 4 der Delegierten Verordnung zum Unionszollkodex vorgesehen war.</w:t>
      </w:r>
    </w:p>
    <w:p>
      <w:r>
        <w:t xml:space="preserve">(2) Als hinreichender Ersatznachweis nach Absatz 1 Nummer 1 gilt insbesondere ein vom Empfänger vorgelegtes Dokument, das dieselben Angaben enthält wie eine Eingangsmeldung und in dem der Empfänger den Empfang der Alkoholerzeugnisse bestätigt. Als hinreichender Ersatznachweis nach Absatz 1 Nummer 2 gilt insbesondere ein Sichtvermerk der Ausgangszollstelle, der bestätigt, dass die Alkoholerzeugnisse das Verbrauchsteuergebiet der Europäischen Union verlassen haben oder in das externe Versandverfahren nach Artikel 226 Absatz 2 des Unionszollkodex überführt wurden, sofern dies nach Artikel 189 Absatz 4 der Delegierten Verordnung zum Unionszollkodex vorgesehen war.</w:t>
      </w:r>
    </w:p>
    <w:p>
      <w:r>
        <w:rPr>
          <w:color w:val="555555"/>
          <w:sz w:val="17"/>
        </w:rPr>
        <w:t xml:space="preserve">Zitiervorschlag: § 40 AlkStV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