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AlkStV — Beförderungen im Steuergebiet in Sonderfällen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Bei Beförderungen von Alkoholerzeugnissen unter Steueraussetzung zwischen Steuerlagern eines Steuerlagerinhabers im Steuergebiet oder, wenn der Steuerlagerinhaber gleichzeitig registrierter Versender ist, zwischen Orten der Einfuhr im Steuergebiet und den Steuerlagern dieses Steuerlagerinhabers im Steuergebiet kann das Hauptzollamt auf Antrag des Steuerlagerinhabers anstelle des Verfahrens mit elektronischem Verwaltungsdokument andere geeignete Verfahren zulassen, wenn Steuerbelange nicht gefährdet sind.</w:t>
      </w:r>
    </w:p>
    <w:p>
      <w:r>
        <w:t xml:space="preserve">(2) Bei häufigen und regelmäßigen Beförderungen von Alkoholerzeugnissen unter Steueraussetzung zur Abgabe als Schiffs-, Flugzeug- und Reisebedarf nach § 27 der Zollverordnung kann in den Fällen, in denen nach Artikel 269 Absatz 1, 2 Buchstabe c und Absatz 3 des Unionszollkodex ein Ausfuhrverfahren durchgeführt wird, das Hauptzollamt auf Antrag des Steuerlagerinhabers zulassen, dass dieser für die in einem Kalendermonat abgegebenen Alkoholerzeugnisse bis zum zehnten Tag nach Ablauf des Kalendermonats, in dem die Beförderung begonnen hat, den Entwurf eines zusammengefassten elektronischen Verwaltungsdokuments übermittelt, wenn</w:t>
      </w:r>
    </w:p>
    <w:p>
      <w:pPr>
        <w:ind w:left="420"/>
      </w:pPr>
      <w:r>
        <w:t xml:space="preserve">1. dem Steuerlagerinhaber das Verfahren nach Artikel 182 des Unionszollkodex bewilligt wurde;</w:t>
      </w:r>
    </w:p>
    <w:p>
      <w:pPr>
        <w:ind w:left="420"/>
      </w:pPr>
      <w:r>
        <w:t xml:space="preserve">2. die Beförderung ausschließlich im Steuergebiet erfolgt und</w:t>
      </w:r>
    </w:p>
    <w:p>
      <w:pPr>
        <w:ind w:left="420"/>
      </w:pPr>
      <w:r>
        <w:t xml:space="preserve">3. die einzelnen Beförderungen von einem Lieferschein oder einem entsprechenden Handelsdokument mit der deutlich sichtbaren Aufschrift „unversteuerte Alkoholerzeugnisse zur Bevorratung von Schiffen und Luftfahrzeugen“ begleitet werden.</w:t>
      </w:r>
    </w:p>
    <w:p>
      <w:r>
        <w:t xml:space="preserve">Für das Erstellen des Entwurfs des zusammengefassten elektronischen Verwaltungsdokuments und der Ausfuhrmeldung gelten die §§ 29 und 33 entsprechend.</w:t>
      </w:r>
    </w:p>
    <w:p>
      <w:r>
        <w:rPr>
          <w:color w:val="555555"/>
          <w:sz w:val="17"/>
        </w:rPr>
        <w:t xml:space="preserve">Zitiervorschlag: § 34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