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AlkStV — Alkoholmenge</w:t>
      </w:r>
    </w:p>
    <w:p>
      <w:r>
        <w:rPr>
          <w:color w:val="555555"/>
          <w:sz w:val="18"/>
        </w:rPr>
        <w:t xml:space="preserve">Alkoholsteuerverordnung</w:t>
      </w:r>
    </w:p>
    <w:p>
      <w:r>
        <w:rPr>
          <w:color w:val="555555"/>
          <w:sz w:val="18"/>
        </w:rPr>
        <w:t xml:space="preserve">Stand: 10.06.2019 (konsolidierte Textfassung, kein amtliches Inkrafttretensdatum)</w:t>
      </w:r>
    </w:p>
    <w:p>
      <w:r>
        <w:t xml:space="preserve">(1) Die Alkoholmenge ist das in Litern ausgedrückte Volumen des reinen Alkohols bei einer Temperatur von 20 Grad Celsius.</w:t>
      </w:r>
    </w:p>
    <w:p>
      <w:r>
        <w:t xml:space="preserve">(2) Die Alkoholmenge in einem Erzeugnis wird aus dem Gewicht oder dem Volumen und aus dem Alkoholgehalt ermittelt. Die Ermittlung kann mit einem von der Generalzolldirektion geprüften und beglaubigten Messgerät vorgenommen werden. Die Generalzolldirektion macht im Bundesanzeiger sowie im Internet auf der zentralen Informationsplattform www.zoll.de bekannt, welche Arten von Messgeräten zur Vermessung von Alkohol zugelassen sind. In der Bekanntmachung werden die zugelassenen Messgeräte in ihren einzelnen Teilen und Einrichtungen beschrieben und es werden Anordnungen über die Versendung, die Aufstellung, die Behandlung und die Prüfung der Messgeräte getroffen.</w:t>
      </w:r>
    </w:p>
    <w:p>
      <w:r>
        <w:t xml:space="preserve">(3) Bei Alkoholerzeugnissen in Fertigpackungen wird die Alkoholmenge aus der Nennfüllmenge und dem Alkoholgehalt berechnet, die auf den Fertigpackungen angegeben sind, es sei denn, die Angabe des Alkoholgehalts auf der Fertigpackung weicht um mehr als 0,5 Volumenprozent vom tatsächlichen Alkoholgehalt ab.</w:t>
      </w:r>
    </w:p>
    <w:p>
      <w:r>
        <w:rPr>
          <w:color w:val="555555"/>
          <w:sz w:val="17"/>
        </w:rPr>
        <w:t xml:space="preserve">Zitiervorschlag: § 3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